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grupowych - 24 h (1,0 ECTS), przygotowanie do sprawdzianu wiedzy - 18 h (0,5 ECTS), wykonanie prac domowych- 18 h (0,5ECTS)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 h (0,5 ECTS), ćwiczenia - 12 h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- 12h (0,5ECTS), wykonanie prac domowych - 18h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komunikacyjnych oraz umiejętność analizy i wymiarowania nawierzchni drogowych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nawierzchni podatnych i sztywnych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2 sprawdziany wiedzy ogólnej 
2. Wykonanie 2 prac domowych (analiza lepko-sprężystego modelu materiału, analiza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in.: Mechanika nawierzchni drogowych w zarysie. PWN, Warszawa  2014    
2. Firlej S.: Mechanika nawierzchni drogowej. Petit s.c., Lublin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MENADRW1: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MENADRU1: </w:t>
      </w:r>
    </w:p>
    <w:p>
      <w:pPr/>
      <w:r>
        <w:rPr/>
        <w:t xml:space="preserve">Posiada umiejętność tworzenia modeli obliczeniowych nawierzchni drogowych oraz umiejętność ich analizy, w tym w celu wymiarowania, konstrukcji nawierzchni drogowych 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MENADRK1: </w:t>
      </w:r>
    </w:p>
    <w:p>
      <w:pPr/>
      <w:r>
        <w:rPr/>
        <w:t xml:space="preserve">Posiada umiejętność prezentacji rozwiązań zagadnień mechanicznych dotyczących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2026-10-19T15:08:41+02:00</dcterms:created>
  <dcterms:modified xsi:type="dcterms:W3CDTF">2026-10-19T15:08:41+02:00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