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zależenie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20 godz., praca własna studenta 30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godz.= 1 ECTS: obecność na zajęciach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Rozumienia technicznych i pozatechnicznych aspektów działalności człowieka. &lt;br&gt;
Inspirowanie do samokształcenia.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właściwe dla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właściwe dla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właściwy dla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HESWY2W1: </w:t>
      </w:r>
    </w:p>
    <w:p>
      <w:pPr/>
      <w:r>
        <w:rPr/>
        <w:t xml:space="preserve">							właściwy dla przedmiotu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właściwy dla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HESWY2K1: </w:t>
      </w:r>
    </w:p>
    <w:p>
      <w:pPr/>
      <w:r>
        <w:rPr/>
        <w:t xml:space="preserve">Rozumienie technicznych i pozatechnicznych aspektów działalności człowieka. Inspirowanie do samokształcenia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właściwy dla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2026-09-04T18:53:33+02:00</dcterms:created>
  <dcterms:modified xsi:type="dcterms:W3CDTF">2026-09-04T18:53:33+02:00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