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Włodarek,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MEKODR</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 godz., przygotowanie do ćwiczeń 5 godz., przygotowanie projektu poza zajęciami 20 godz., przygotowanie do obrony projektu 10 godz., konsultacje 5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godz., konsultacje 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5 godz., przygotowanie projektu poza zajęciami 20 godz., przygotowanie do obrony projektu 10 godz. 
RAZEM 65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zasad projektowania dróg i ulic.</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narzędzia).&lt;br&gt;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-prosty rysunek 2D lub 3D wykonany w MicroStation oraz niewielki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2010;&lt;br&gt;
[2] T. Zieliński, K. Jagodziński - InRoads XM Edition, wersja 8.9. Program do komputerowego wspomagania projektowania dróg, Warszawa, 2009;&lt;br&gt;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MEKODRW1: </w:t>
      </w:r>
    </w:p>
    <w:p>
      <w:pPr/>
      <w:r>
        <w:rPr/>
        <w:t xml:space="preserve">Ma podstawową wiedzę w zakresie wykorzystania oprogramowania wspomagajacego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MEKODRU1: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MEKODRK1: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2026-09-27T04:36:34+02:00</dcterms:created>
  <dcterms:modified xsi:type="dcterms:W3CDTF">2026-09-27T04:36:34+02:00</dcterms:modified>
</cp:coreProperties>
</file>

<file path=docProps/custom.xml><?xml version="1.0" encoding="utf-8"?>
<Properties xmlns="http://schemas.openxmlformats.org/officeDocument/2006/custom-properties" xmlns:vt="http://schemas.openxmlformats.org/officeDocument/2006/docPropsVTypes"/>
</file>