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Biologia sanitarna w gospodarce odpadami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Ewa Miaśkiewicz-Pęska, dr Tomasz Słomczyński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 i Specjalizacyjne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1110-ISGOD-ISP-6301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Zajęcia laboratoryjne - 15 godzin. Przygotowanie do zajęć - 10 godzin. Zapoznanie z literaturą - 12 godzin. Opracowanie sprawozdań z zajęć - 10 godzin. Razem - 32 godziny.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Biologia i Ekologia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przygotowanie studentów do oceny stanu sanitarnego odpadów i produktów ich unieszkodliwiania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 1. Grupy fizjologiczne bakterii i grzybów biorące udział w przemianach związków węgla, azotu i siarki 
2. Analiza sanitarna kompostów i osadów ściekowych
3. Wpływ związków chemicznych na mikroorganizmy. Dezynfekcja wody
4. Zaliczenie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 zaliczenia wykładu
Zaliczenie pisemne
Warunki zaliczenia ćwiczeń laboratoryjnych
Obecność na laboratorium. Zaliczenie sprawozdań. Zaliczenie kolokwium pisemnego.
0,6W + 04L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
Salyers A. A., Whitt D. D. Mikrobiologia Wydawnictwo Naukowe PWN Warszawa 2003
Kunicki-Golodfinger W. J. H. Życie bakterii Wydawnictwo Naukowe PWN Warszawa 1998
Ćwiczenia laboratoryjne z mikrobiologii ogólnej red. Grabińska-Łoniewska A. Oficyna Wydawnicza Politechniki Warszawskiej Warszawa 1999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Posiada wiedzę w zakresie zagrożeń sanitarnych w gospodarce odpadami związanych z występowaniem mikroorganizmów chorobotwórczych i pasożytów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IS_W05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Posiada wiedzę w zakresie metod higienizacji odpadów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IS_W07, IS_W11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T1A_W03, T1A_W02, T1A_W03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przeprowadzić ocenę technologiczną urządzeń stosowanych w gromadzeniu, transporcie i unieszkodliwianiu odpadów oraz utrzymaniu czystości na terenach zurbanizowanych - ustna odpowiedź przed zajęciami laboratoryjnymi i kolokwium pisemne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ustna odpowiedź przed zajęciami laboratoryjnymi i kolokwium pisemne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IS_U06, IS_U16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T1A_U14, T1A_U16, T1A_U01, T1A_U03, T1A_U04, T1A_U05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Potrafi ocenić przebieg procesów biologicznych podczas składowania i utylizacji odpadów oraz rekultywacji terenów zdegradowanych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ustna odpowiedź przed zajęciami laboratoryjnymi i kolokwium pisemne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IS_U16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T1A_U03, T1A_U04, T1A_U05</w:t>
      </w:r>
    </w:p>
    <w:p>
      <w:pPr>
        <w:keepNext w:val="1"/>
        <w:spacing w:after="10"/>
      </w:pPr>
      <w:r>
        <w:rPr>
          <w:b/>
          <w:bCs/>
        </w:rPr>
        <w:t xml:space="preserve">Efekt U03: </w:t>
      </w:r>
    </w:p>
    <w:p>
      <w:pPr/>
      <w:r>
        <w:rPr/>
        <w:t xml:space="preserve">Posługuje się terminologią w opisie zjawisk biologicznych zachodzących w gospodarce odpadami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ustna odpowiedź przed zajęciami laboratoryjnymi i kolokwium pisemne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IS_U21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T1A_U02, T1A_U03, T1A_U04, T1A_U06, T1A_U07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Ma świadomość skutków działalności inżynierskiej w środowisku i odpowiedzialności za podejmowane decyzje 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ustna dyskusja przed i po zajęciach laboratoryjnych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</w:t>
      </w:r>
    </w:p>
    <w:p>
      <w:pPr>
        <w:keepNext w:val="1"/>
        <w:spacing w:after="10"/>
      </w:pPr>
      <w:r>
        <w:rPr>
          <w:b/>
          <w:bCs/>
        </w:rPr>
        <w:t xml:space="preserve">Efekt K02: </w:t>
      </w:r>
    </w:p>
    <w:p>
      <w:pPr/>
      <w:r>
        <w:rPr/>
        <w:t xml:space="preserve">Ma świadomość konieczności przestrzegania etyki zawodowej w gospodarce odpadami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ustna dyskusja przed i po zajęciach laboratoryjnych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2026-10-02T21:42:01+02:00</dcterms:created>
  <dcterms:modified xsi:type="dcterms:W3CDTF">2026-10-02T21:42:01+02:00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