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wyceny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Sobolewska - Mikulska,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17 godzin, w tym: a) uczestnictwo w wykładach - 15 godzin b) udział w konsultacjach -  2 godziny. 2) Praca własna studenta - 8 godzin, w tym: a) przygotowanie do sprawdzianów -  6 godzin b) studiowanie literatury - 2 godzin. RAZEM:  25 godzin - 1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- liczba godzin kontaktowych - 17 godzin, w tym: a) uczestnictwo w wykładach - 15 godzin 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prawnych w tym przede wszystkim dotyczących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przez studenta ogólnej wiedzy w zakresie dokumentacji procesu wyceny, w tym wykorzystania i poszukiwania danych geodezyjnych, kartograficznych i prawnych dotyczących nieruchomości oraz umiejętność sporządzania operatów szacunkowych.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Pojęcie rynku nieruchomości. Wprowadzenie do problematyki wyceny nieruchomości (istota i cele wyceny, regulacje prawne, Standardy Zawodowe Rzeczoznawców Majątkowych). Wartość rynkowa nieruchomości i inne rodzaje wartości. Metodyka wyceny nieruchomości (podejścia, metody i techniki wyceny). Cechy nieruchomości mające wpływ na ich wartość. Operat szacunkowy (funkcja, treść i forma operatu szacunkowego). Źródła informacji w procesie wyceny ze szczególnym uwzględnieniem informacyjnych systemów geodezyjnych oraz opracowań kartograficznych i planistycznych.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wykład. Do zaliczenia wykładu wymagane jest uzyskanie pozytywnych ocen z dwóch sprawdzianów. Sprawdziany poprawkowe – ostatni wykład w semestrze. Do zaliczenia sprawdzianu wymagane jest uzyskanie minimum 60% punktów. Ocenę łączną stanowi średnia arytmetyczna z obu sprawdzianów. Oceny wpisywane są według zasady: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Ewa Kucharska-Stasiak „Nieruchomość w gospodarce rynkowej", PWN Warszawa 2006; 2. Ryszard Cymerman i Andrzej Hopfer „System, zasady i procedury wyceny nieruchomości”, Warszawa 2012; 3. „Leksykon Rzeczoznawcy Majątkowego”, PFSRM, 2004; 4. Krajowy Standard Wyceny; Europejskie Standardy Wyceny 2000 (wydanie polskie), PFSRM, Warszawa 2001; 5. Rozporządzenie Rady Ministrów z dnia 21 września 2004 r. w sprawie wyceny nieruchomości i sporządzania operatu szacunkowego (z późn. zm.).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GI.ISP-6018_W18: </w:t>
      </w:r>
    </w:p>
    <w:p>
      <w:pPr/>
      <w:r>
        <w:rPr/>
        <w:t xml:space="preserve">ma podstawową wiedzę techniczną i prawną z zakresu gospodarki nieruchomościami, w tym w szczególności z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GI.ISP-6018_U06: </w:t>
      </w:r>
    </w:p>
    <w:p>
      <w:pPr/>
      <w:r>
        <w:rPr/>
        <w:t xml:space="preserve">posiada umiejętność samokształcenia się, poprzez podnoszenie kompetencji zawodowych (niezbędność uczestniczenia w kursach, seminariach, szkoleniach zawodowych oraz własne studia fachowej literatury z zakresu szacowania nieruchomości)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GI.ISP-6018_K01: </w:t>
      </w:r>
    </w:p>
    <w:p>
      <w:pPr/>
      <w:r>
        <w:rPr/>
        <w:t xml:space="preserve">rozumie potrzebę i zna możliwości ciągłego dokształcania się (studia drugiego i trzeciego stopnia, studia podyplomowe, kursy) z zakresu wyceny nieruchomości oraz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GI.ISP-6018_K03: </w:t>
      </w:r>
    </w:p>
    <w:p>
      <w:pPr/>
      <w:r>
        <w:rPr/>
        <w:t xml:space="preserve">ma świadomość profesjonalizmu i rzetelności zawodu rzeczoznawcy majątkowego, obowiązku przestrzegania zasad etyki zawodowej oraz wyceny nieruchomości zgodnie z zapisami prawa oraz standardami zawodowymi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GI.ISP-6018_K04: </w:t>
      </w:r>
    </w:p>
    <w:p>
      <w:pPr/>
      <w:r>
        <w:rPr/>
        <w:t xml:space="preserve">ma świadomość odpowiedzialności za pracę własną (w tym przede wszystkim ma świadomość odpowiedzialności rzeczoznawcy majątkowego za sporządzane operaty szacunkowe, ekspertyzy)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2026-07-11T00:19:31+02:00</dcterms:created>
  <dcterms:modified xsi:type="dcterms:W3CDTF">2026-07-11T00:19:31+02:00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