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1060-GI000-ISP-3001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GI.ISP-3001_W01: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GI.ISP-3001_U01: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T1P_U01, T1P_U06</w:t>
      </w:r>
    </w:p>
    <w:p>
      <w:pPr>
        <w:pStyle w:val="Heading3"/>
      </w:pPr>
      <w:bookmarkStart w:id="4" w:name="_Toc4"/>
      <w:r>
        <w:t>Profil praktyczny - kompetencje społeczne</w:t>
      </w:r>
      <w:bookmarkEnd w:id="4"/>
    </w:p>
    <w:p>
      <w:pPr>
        <w:keepNext w:val="1"/>
        <w:spacing w:after="10"/>
      </w:pPr>
      <w:r>
        <w:rPr>
          <w:b/>
          <w:bCs/>
        </w:rPr>
        <w:t xml:space="preserve">Efekt GI.ISP-3001_K01: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T1P_K01,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2026-09-30T23:46:36+02:00</dcterms:created>
  <dcterms:modified xsi:type="dcterms:W3CDTF">2026-09-30T23:46:36+02:00</dcterms:modified>
</cp:coreProperties>
</file>

<file path=docProps/custom.xml><?xml version="1.0" encoding="utf-8"?>
<Properties xmlns="http://schemas.openxmlformats.org/officeDocument/2006/custom-properties" xmlns:vt="http://schemas.openxmlformats.org/officeDocument/2006/docPropsVTypes"/>
</file>