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Języki i techniki programowania  cz.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1060-GI000-ISP-2008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- 47 godz., w tym: a) uczestnictwo w wykładach (15 godz.), b) uczestnictwo w ćwiczeniach (30 godz.), c) udział w konsultacjach (2 godz.). 2) Praca własna studenta - 60 godz. w tym: a) przygotowanie do ćwiczeń (15 godz.), b) samodzielna praca projektowa (30 godz.), c) przygotowanie do egzaminu (15 godz.). RAZEM: 107 godz. co odpowiada 4 pkt.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pkt. ECTS - liczba godzin kontaktowych - 47 godz., w tym: a) uczestnictwo w wykładach (15 godz.), b) uczestnictwo w ćwiczeniach (30 godz.), c) udział w konsultacjach (2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 pkt. ECTS - 60 godz., w tym: a) uczestnictwo w ćwiczeniach (30 godz.), b) samodzielna praca projektowa (30 godz.).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informatyki i techniki komputerowej, umiejętność programowania strukturalnego, znajomość podstawowych algorytmów i struktur danych wykorzystywanych w programowaniu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programowaniem obiektowym, wzorcami projektowymi oraz metodami tworzenia interfejsów graficznych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 
1. Dziedziczenie: klasy bazowe i pochodne. Możliwości identyfikacji klasy obiektu w czasie kompilacji i wykonania programu. Drzewo dziedziczenia i konwersje typów. 
2. Dziedziczenie: metody wirtualne, metody czysto wirtualne i klasy abstrakcyjne. Znaczenie destruktorów wirtualnych. 
3. Dziedziczenie, agregacja, kompozycja. Zasady stosowania poszczególnych rozwiązań. 
4. Wykorzystanie dziedziczenia, obiektów abstrakcyjnych w programowaniu elementów graficznych. 
5. Wzorce projektowe: podstawy. Wzorce czynnościowe: iterator, obserwator, odwiedzający, metoda szablonowa. 
6. Strukturalne wzorce projektowe: fasada, dekorator, adapter. 
7. Konstrukcyjne wzorce projektowe: singleton, metoda wytwórcza, fabryka abstrakcyjna. 
8. Zasady wykorzystania wzorców projektowych; adaptacja do konkretnych potrzeb. 
9. Podstawy graficznych interfejsów użytkownika: zdarzenia i ich obsługa. 
10. Typowe elementy graficznego interfejsu użytkownika i ich parametry. 
11. Separacja warstwy prezentacji oraz obsługi zdarzeń. Polecenia. 
12. Podstawy wzorca model-widok-kontroler. Przykłady realizacji wzorca MVC. 
13. Wykorzystanie wzorca MVC do tworzenia aplikacji. 
14. Automatyzacja procesu tworzenia oprogramowania: generatory kodu. Narzędzia wspomagające pracę programisty: system kontroli wersji, system ciągłej integracji. 
15. Podstawowe informacje dotyczące innych, powszechnie używanych języków programowania i środowisk programowania. 
Ćwiczenia: 
1. Prosta rodzina klas z wykorzystaniem dziedziczenia. 
2. Wykorzystanie czynnościowych wzorców projektowych w prostym programie z graficzną prezentacją wyników działania. 
3. Program wykorzystujący konstrukcyjne wzorce projektowe i hierarchię klas. 
4. Prosty program z graficznym interfejsem użytkownika. 
5. Program wykorzystujący strukturę model-widok-kontroler do obsługi dokumentów o różnej strukturze.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zajęć student może zgromadzić maksymalnie 100 punktów podzielonych na: 50 punktów z zadań programistycznych ocenianych w skali 0-10, 40 punktów za egzamin przeprowadzony w formie komputerowej oraz 10 punktów za realizację dodatkowych zadań domowych. Do zaliczenia przedmiotu trzeba uzyskać minimum 50% punktów z egzaminu (ocena z wykładu) oraz zadań programistycznych (ocena z ćwiczeń). Punkty są przeliczane na oceny wg następujących zakresów: 0-50 punktów – ocena 2, 51-60 punktów – ocena 3.0, 61-70 punktów – ocena 3.5, 71-80 punktów  - ocena 4.0, 81-90 punktów – ocena 4.5, 91-100 punktów – ocena 5.0.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Bjarne Stroustrup, Programowanie. Teoria i praktyka z wykorzystaniem C++, Helion, 2013.
2) Robert Nowak, Andrzej Pająk, Język C++ mechanizmy, wzorce, biblioteki, btc, 2013.
3) Erich Gamma, Richard Helm, Ralph Johnson, John M. Vlissides, Wzorce projektowe. Elementy oprogramowania obiektowego wielokrotnego użytku, Helion, 2010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Oprogramowanie wykorzystywane na ćwiczeniach: zestaw kompilatorów i narzędzi GCC (MinGW), zintegrowane środowisko Eclipse CDT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1060-GI000-ISP-2008_W01: </w:t>
      </w:r>
    </w:p>
    <w:p>
      <w:pPr/>
      <w:r>
        <w:rPr/>
        <w:t xml:space="preserve">Zna zasady i mechanizmy programowania obiektowego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T1P_W03, T1P_W04, T1P_W06</w:t>
      </w:r>
    </w:p>
    <w:p>
      <w:pPr>
        <w:keepNext w:val="1"/>
        <w:spacing w:after="10"/>
      </w:pPr>
      <w:r>
        <w:rPr>
          <w:b/>
          <w:bCs/>
        </w:rPr>
        <w:t xml:space="preserve">Efekt 1060-GI000-ISP-2008_W02: </w:t>
      </w:r>
    </w:p>
    <w:p>
      <w:pPr/>
      <w:r>
        <w:rPr/>
        <w:t xml:space="preserve">Zna podstawowe wzorce projektowe i zasady ich wykorzystania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T1P_W03, T1P_W04, T1P_W06</w:t>
      </w:r>
    </w:p>
    <w:p>
      <w:pPr>
        <w:keepNext w:val="1"/>
        <w:spacing w:after="10"/>
      </w:pPr>
      <w:r>
        <w:rPr>
          <w:b/>
          <w:bCs/>
        </w:rPr>
        <w:t xml:space="preserve">Efekt 1060-GI000-ISP-2008_W03: </w:t>
      </w:r>
    </w:p>
    <w:p>
      <w:pPr/>
      <w:r>
        <w:rPr/>
        <w:t xml:space="preserve">Zna metody tworzenia graficznego interfejsu użytkownika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T1P_W03, T1P_W04, T1P_W06</w:t>
      </w:r>
    </w:p>
    <w:p>
      <w:pPr>
        <w:keepNext w:val="1"/>
        <w:spacing w:after="10"/>
      </w:pPr>
      <w:r>
        <w:rPr>
          <w:b/>
          <w:bCs/>
        </w:rPr>
        <w:t xml:space="preserve">Efekt 1060-GI000-ISP-2008_W04: </w:t>
      </w:r>
    </w:p>
    <w:p>
      <w:pPr/>
      <w:r>
        <w:rPr/>
        <w:t xml:space="preserve">Ma podstawową wiedzę w zakresie automatyzacji procesu tworzenia i testowania oprogramowania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T1P_W05, T1P_W06, T1P_W03, T1P_W04, T1P_W06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1060-GI000-ISP-2008_U01: </w:t>
      </w:r>
    </w:p>
    <w:p>
      <w:pPr/>
      <w:r>
        <w:rPr/>
        <w:t xml:space="preserve">Potrafi zaprojektować i napisać program w sposób obiektowy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programistyczne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T1P_U01, T1P_U13, T1P_U05, T1P_U09, T1P_U14, T1P_U15, T1P_U16, T1P_U18</w:t>
      </w:r>
    </w:p>
    <w:p>
      <w:pPr>
        <w:keepNext w:val="1"/>
        <w:spacing w:after="10"/>
      </w:pPr>
      <w:r>
        <w:rPr>
          <w:b/>
          <w:bCs/>
        </w:rPr>
        <w:t xml:space="preserve">Efekt 1060-GI000-ISP-2008_U02: </w:t>
      </w:r>
    </w:p>
    <w:p>
      <w:pPr/>
      <w:r>
        <w:rPr/>
        <w:t xml:space="preserve">Potrafi zastosować wzorce projektowe we własnym programie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programistyczne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T1P_U01, T1P_U13, T1P_U05, T1P_U09, T1P_U14, T1P_U15, T1P_U16, T1P_U18</w:t>
      </w:r>
    </w:p>
    <w:p>
      <w:pPr>
        <w:keepNext w:val="1"/>
        <w:spacing w:after="10"/>
      </w:pPr>
      <w:r>
        <w:rPr>
          <w:b/>
          <w:bCs/>
        </w:rPr>
        <w:t xml:space="preserve">Efekt 1060-GI000-ISP-2008_U03: </w:t>
      </w:r>
    </w:p>
    <w:p>
      <w:pPr/>
      <w:r>
        <w:rPr/>
        <w:t xml:space="preserve">Potrafi skorzystać z bibliotek i ich dokumentacji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programistyczne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K_U06, K_U10,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T1P_U01, T1P_U13, T1P_U05, T1P_U11, T1P_U14, T1P_U17, T1P_U09, T1P_U14, T1P_U15, T1P_U16, T1P_U18</w:t>
      </w:r>
    </w:p>
    <w:p>
      <w:pPr>
        <w:keepNext w:val="1"/>
        <w:spacing w:after="10"/>
      </w:pPr>
      <w:r>
        <w:rPr>
          <w:b/>
          <w:bCs/>
        </w:rPr>
        <w:t xml:space="preserve">Efekt 1060-GI000-ISP-2008_U04: </w:t>
      </w:r>
    </w:p>
    <w:p>
      <w:pPr/>
      <w:r>
        <w:rPr/>
        <w:t xml:space="preserve">Potrafi zaprojektować i napisać program z prostym graficznym interfejsem użytkownika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programistyczne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K_U06, K_U10,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T1P_U01, T1P_U13, T1P_U05, T1P_U11, T1P_U14, T1P_U17, T1P_U09, T1P_U14, T1P_U15, T1P_U16, T1P_U18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1060-GI000-ISP-2008_K01: </w:t>
      </w:r>
    </w:p>
    <w:p>
      <w:pPr/>
      <w:r>
        <w:rPr/>
        <w:t xml:space="preserve">Potrafi współpracować w zespole rozwiązując przydzielone problemy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programistyczne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T1P_K01, T1P_K03, T1P_K04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2025-05-02T22:15:25+02:00</dcterms:created>
  <dcterms:modified xsi:type="dcterms:W3CDTF">2025-05-02T22:15:25+02:00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