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Informatyka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Artur Dybko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Technologia Chemiczna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2015/2016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	godziny kontaktowe 30 h, w tym:
a)	obecność na laboratoriach 30 h,
Razem nakład pracy studenta: 30 h, co odpowiada 2 punktom ECTS.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1.	obecność na laboratoriach 30 h,
Razem: 30 h, co odpowiada 2 punktom ECTS.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1.	obecność na laboratoriach 30 h,	
Razem: 30 h, co odpowiada  2 punktom ECTS.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 ukończeniu kursu student powinien:
•	mieć ogólną wiedzę na temat zasad algorytmicznego formułowania rozwiązań zadań,
•	mieć ogólną wiedzę na temat podstaw programowania w VBA w środowisku MS Excel,
•	mieć ogólną wiedzę na temat rozszerzania arkusza MS Excel  o aplikacje wspomagające podstawowe obliczenia chemiczne.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Celem przedmiotu jest zapoznanie studentów z praktycznym wykorzystaniem metod numerycznych do analizy danych eksperymentalnych. Przedstawione będą podstawy programowania oraz zastosowanie wybranych programów do analizy danych eksperymentalnych i oraz symulacji właściwości termodyna-micznych rzeczywistych układów chemicznych. W toku zajęć studenci będą wykorzystywali wiedzę zdobytą w trakcie przedmiotu Termodynamika Techniczna i Chemiczna.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pracy w semestrze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	J. Walkenbach, Excel 2003 PL. Biblia, Wydawnictwo Helion, Gliwice 2004.
2.	W. Ufnalski, Excel dla chemików i nie tylko, WNT,
Warszawa 2000.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ch.pw.edu.pl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W01: </w:t>
      </w:r>
    </w:p>
    <w:p>
      <w:pPr/>
      <w:r>
        <w:rPr/>
        <w:t xml:space="preserve">Posiada podstawową wiedzę z zakresu technologii informacyjnych, w tym znajomość pakietów oprogramowania przydatnych w działalności inżynierskie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U01: </w:t>
      </w:r>
    </w:p>
    <w:p>
      <w:pPr/>
      <w:r>
        <w:rPr/>
        <w:t xml:space="preserve">Potrafi posługiwać się podstawowymi technikami informacyjno-komunikacyjnymi, w tym programami komputerowymi wspomagającymi realizację zadań inżynierskich z zakresu technologii chemicznej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K01: </w:t>
      </w:r>
    </w:p>
    <w:p>
      <w:pPr/>
      <w:r>
        <w:rPr/>
        <w:t xml:space="preserve">Ma świadomość poziomu swojej wiedzy i umiejętności, rozumie potrzebę ciągłego dokształcania się - podnoszenia kompetencji zawodowych i osobistych, potrafi określić kierunki dalszego uczenia się i realizować proces samokształcenia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2025-05-13T06:15:19+02:00</dcterms:created>
  <dcterms:modified xsi:type="dcterms:W3CDTF">2025-05-13T06:15:19+02:00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