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Student posiada wiedzę na temat nowoczesnych systemów elektroenergetycznych, uwarunkowań systemowych i prawnych oraz specyfiki pracy sieci inteligentnych i urządzeń energetyki rozproszonej.		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	Student ma wiedzę na temat modelowania poszczególnych urządzeń energetyki rozproszonej.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																				Student  posiada wiedzę o funkcjonalności smart grid i nowych urządzeniach sieci inteligentnych,  rozumie kierunki rozwoju systemy elektroenergetycznego oraz konsekwencje zmian systemowych. 	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ML.NW691_U1: </w:t>
      </w:r>
    </w:p>
    <w:p>
      <w:pPr/>
      <w:r>
        <w:rPr/>
        <w:t xml:space="preserve">								Student ma umiejętność  modelowania poszczególnych urządzeń energetyki rozproszonej i sieci.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ML.NW691_K1: </w:t>
      </w:r>
    </w:p>
    <w:p>
      <w:pPr/>
      <w:r>
        <w:rPr/>
        <w:t xml:space="preserve">																						Student zna i potrafi wykorzystać wiedzę na temat energetyki rozproszonej i sieci inteligentnych do realizacji celów społeczno-gospodarczych przy akceptacji zasad  ochrony środowiska.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2026-05-06T19:56:09+02:00</dcterms:created>
  <dcterms:modified xsi:type="dcterms:W3CDTF">2026-05-06T19:56:09+02:00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