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keepNext w:val="1"/>
        <w:spacing w:after="10"/>
      </w:pPr>
      <w:r>
        <w:rPr>
          <w:b/>
          <w:bCs/>
        </w:rPr>
        <w:t xml:space="preserve">Nazwa przedmiotu: </w:t>
      </w:r>
    </w:p>
    <w:p>
      <w:pPr>
        <w:spacing w:before="20" w:after="190"/>
      </w:pPr>
      <w:r>
        <w:rPr/>
        <w:t xml:space="preserve">Propedeutyka teorii architektury</w:t>
      </w:r>
    </w:p>
    <w:p>
      <w:pPr>
        <w:keepNext w:val="1"/>
        <w:spacing w:after="10"/>
      </w:pPr>
      <w:r>
        <w:rPr>
          <w:b/>
          <w:bCs/>
        </w:rPr>
        <w:t xml:space="preserve">Koordynator przedmiotu: </w:t>
      </w:r>
    </w:p>
    <w:p>
      <w:pPr>
        <w:spacing w:before="20" w:after="190"/>
      </w:pPr>
      <w:r>
        <w:rPr/>
        <w:t xml:space="preserve">prof. dr hab. inż. arch. Konrad Kucza-Kuczyński</w:t>
      </w:r>
    </w:p>
    <w:p>
      <w:pPr>
        <w:keepNext w:val="1"/>
        <w:spacing w:after="10"/>
      </w:pPr>
      <w:r>
        <w:rPr>
          <w:b/>
          <w:bCs/>
        </w:rPr>
        <w:t xml:space="preserve">Status przedmiotu: </w:t>
      </w:r>
    </w:p>
    <w:p>
      <w:pPr>
        <w:spacing w:before="20" w:after="190"/>
      </w:pPr>
      <w:r>
        <w:rPr/>
        <w:t xml:space="preserve">Obowiązkowy</w:t>
      </w:r>
    </w:p>
    <w:p>
      <w:pPr>
        <w:keepNext w:val="1"/>
        <w:spacing w:after="10"/>
      </w:pPr>
      <w:r>
        <w:rPr>
          <w:b/>
          <w:bCs/>
        </w:rPr>
        <w:t xml:space="preserve">Poziom kształcenia: </w:t>
      </w:r>
    </w:p>
    <w:p>
      <w:pPr>
        <w:spacing w:before="20" w:after="190"/>
      </w:pPr>
      <w:r>
        <w:rPr/>
        <w:t xml:space="preserve">Studia I stopnia</w:t>
      </w:r>
    </w:p>
    <w:p>
      <w:pPr>
        <w:keepNext w:val="1"/>
        <w:spacing w:after="10"/>
      </w:pPr>
      <w:r>
        <w:rPr>
          <w:b/>
          <w:bCs/>
        </w:rPr>
        <w:t xml:space="preserve">Program: </w:t>
      </w:r>
    </w:p>
    <w:p>
      <w:pPr>
        <w:spacing w:before="20" w:after="190"/>
      </w:pPr>
      <w:r>
        <w:rPr/>
        <w:t xml:space="preserve">Architektura</w:t>
      </w:r>
    </w:p>
    <w:p>
      <w:pPr>
        <w:keepNext w:val="1"/>
        <w:spacing w:after="10"/>
      </w:pPr>
      <w:r>
        <w:rPr>
          <w:b/>
          <w:bCs/>
        </w:rPr>
        <w:t xml:space="preserve">Grupa przedmiotów: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Kod przedmiotu: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Semestr nominalny: </w:t>
      </w:r>
    </w:p>
    <w:p>
      <w:pPr>
        <w:spacing w:before="20" w:after="190"/>
      </w:pPr>
      <w:r>
        <w:rPr/>
        <w:t xml:space="preserve">1 / rok ak. 2015/2016</w:t>
      </w:r>
    </w:p>
    <w:p>
      <w:pPr>
        <w:keepNext w:val="1"/>
        <w:spacing w:after="10"/>
      </w:pPr>
      <w:r>
        <w:rPr>
          <w:b/>
          <w:bCs/>
        </w:rPr>
        <w:t xml:space="preserve">Liczba punktów ECTS: </w:t>
      </w:r>
    </w:p>
    <w:p>
      <w:pPr>
        <w:spacing w:before="20" w:after="190"/>
      </w:pPr>
      <w:r>
        <w:rPr/>
        <w:t xml:space="preserve">1</w:t>
      </w:r>
    </w:p>
    <w:p>
      <w:pPr>
        <w:keepNext w:val="1"/>
        <w:spacing w:after="10"/>
      </w:pPr>
      <w:r>
        <w:rPr>
          <w:b/>
          <w:bCs/>
        </w:rPr>
        <w:t xml:space="preserve">Liczba godzin pracy studenta związanych z osiągnięciem efektów uczenia się: </w:t>
      </w:r>
    </w:p>
    <w:p>
      <w:pPr>
        <w:spacing w:before="20" w:after="190"/>
      </w:pPr>
      <w:r>
        <w:rPr/>
        <w:t xml:space="preserve">-</w:t>
      </w:r>
    </w:p>
    <w:p>
      <w:pPr>
        <w:keepNext w:val="1"/>
        <w:spacing w:after="10"/>
      </w:pPr>
      <w:r>
        <w:rPr>
          <w:b/>
          <w:bCs/>
        </w:rPr>
        <w:t xml:space="preserve">Liczba punktów ECTS na zajęciach wymagających bezpośredniego udziału nauczycieli akademickich: </w:t>
      </w:r>
    </w:p>
    <w:p>
      <w:pPr>
        <w:spacing w:before="20" w:after="190"/>
      </w:pPr>
      <w:r>
        <w:rPr/>
        <w:t xml:space="preserve">-</w:t>
      </w:r>
    </w:p>
    <w:p>
      <w:pPr>
        <w:keepNext w:val="1"/>
        <w:spacing w:after="10"/>
      </w:pPr>
      <w:r>
        <w:rPr>
          <w:b/>
          <w:bCs/>
        </w:rPr>
        <w:t xml:space="preserve">Język prowadzenia zajęć: </w:t>
      </w:r>
    </w:p>
    <w:p>
      <w:pPr>
        <w:spacing w:before="20" w:after="190"/>
      </w:pPr>
      <w:r>
        <w:rPr/>
        <w:t xml:space="preserve">polski</w:t>
      </w:r>
    </w:p>
    <w:p>
      <w:pPr>
        <w:keepNext w:val="1"/>
        <w:spacing w:after="10"/>
      </w:pPr>
      <w:r>
        <w:rPr>
          <w:b/>
          <w:bCs/>
        </w:rPr>
        <w:t xml:space="preserve">Liczba punktów ECTS, którą student uzyskuje w ramach zajęć o charakterze praktycznym: </w:t>
      </w:r>
    </w:p>
    <w:p>
      <w:pPr>
        <w:spacing w:before="20" w:after="190"/>
      </w:pPr>
      <w:r>
        <w:rPr/>
        <w:t xml:space="preserve">-</w:t>
      </w:r>
    </w:p>
    <w:p>
      <w:pPr>
        <w:keepNext w:val="1"/>
        <w:spacing w:after="10"/>
      </w:pPr>
      <w:r>
        <w:rPr>
          <w:b/>
          <w:bCs/>
        </w:rPr>
        <w:t xml:space="preserve">Formy zajęć i ich wymiar w semestrze: </w:t>
      </w:r>
    </w:p>
    <w:tbl>
      <w:tblGrid>
        <w:gridCol w:w="2200" w:type="dxa"/>
        <w:gridCol w:w="2200" w:type="dxa"/>
      </w:tblGrid>
      <w:tblPr>
        <w:tblW w:w="2500" w:type="auto"/>
        <w:tblBorders>
          <w:top w:val="single" w:sz="0" w:color="FFFFFF"/>
          <w:left w:val="single" w:sz="0" w:color="FFFFFF"/>
          <w:right w:val="single" w:sz="0" w:color="FFFFFF"/>
          <w:bottom w:val="single" w:sz="0" w:color="FFFFFF"/>
          <w:insideH w:val="single" w:sz="0" w:color="FFFFFF"/>
          <w:insideV w:val="single" w:sz="0" w:color="FFFFFF"/>
        </w:tblBorders>
      </w:tblP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Wykład: </w:t>
            </w:r>
          </w:p>
        </w:tc>
        <w:tc>
          <w:tcPr>
            <w:tcW w:w="2200" w:type="dxa"/>
          </w:tcPr>
          <w:p>
            <w:pPr/>
            <w:r>
              <w:rPr/>
              <w:t xml:space="preserve">225h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Ćwiczenia: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Laboratorium: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Projekt: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Lekcje komputerowe: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</w:tbl>
    <w:p/>
    <w:p>
      <w:pPr>
        <w:keepNext w:val="1"/>
        <w:spacing w:after="10"/>
      </w:pPr>
      <w:r>
        <w:rPr>
          <w:b/>
          <w:bCs/>
        </w:rPr>
        <w:t xml:space="preserve">Wymagania wstępne: </w:t>
      </w:r>
    </w:p>
    <w:p>
      <w:pPr>
        <w:spacing w:before="20" w:after="190"/>
      </w:pPr>
      <w:r>
        <w:rPr/>
        <w:t xml:space="preserve">-</w:t>
      </w:r>
    </w:p>
    <w:p>
      <w:pPr>
        <w:keepNext w:val="1"/>
        <w:spacing w:after="10"/>
      </w:pPr>
      <w:r>
        <w:rPr>
          <w:b/>
          <w:bCs/>
        </w:rPr>
        <w:t xml:space="preserve">Limit liczby studentów: </w:t>
      </w:r>
    </w:p>
    <w:p>
      <w:pPr>
        <w:spacing w:before="20" w:after="190"/>
      </w:pPr>
      <w:r>
        <w:rPr/>
        <w:t xml:space="preserve">-</w:t>
      </w:r>
    </w:p>
    <w:p>
      <w:pPr>
        <w:keepNext w:val="1"/>
        <w:spacing w:after="10"/>
      </w:pPr>
      <w:r>
        <w:rPr>
          <w:b/>
          <w:bCs/>
        </w:rPr>
        <w:t xml:space="preserve">Cel przedmiotu: </w:t>
      </w:r>
    </w:p>
    <w:p>
      <w:pPr>
        <w:spacing w:before="20" w:after="190"/>
      </w:pPr>
      <w:r>
        <w:rPr/>
        <w:t xml:space="preserve">Poznanie podstaw kształtowania przestrzeni architektonicznej w zakresie teorii jej elementów i cech  oraz   praktyki tworzenia nowej  jakości  przestrzeni.</w:t>
      </w:r>
    </w:p>
    <w:p>
      <w:pPr>
        <w:keepNext w:val="1"/>
        <w:spacing w:after="10"/>
      </w:pPr>
      <w:r>
        <w:rPr>
          <w:b/>
          <w:bCs/>
        </w:rPr>
        <w:t xml:space="preserve">Treści kształcenia: </w:t>
      </w:r>
    </w:p>
    <w:p>
      <w:pPr>
        <w:spacing w:before="20" w:after="190"/>
      </w:pPr>
      <w:r>
        <w:rPr/>
        <w:t xml:space="preserve">Wykłady /15 godz./:
1.	„Warszawska szkoła architektury – historia czy wartość”/Wydział 1915-2010, idee i ludzie „szkoły”, trwałość szkoły, miejsce projektowania w procesie dydaktyki/.
2.	„Przestrzeń, miejsce i „nie-miejsce”- współczesna teoria” /relacja architektury do otoczenia, definicje przestrzeni i miejsca /Tuan/, „płynność” /Baumann/, projektowanie w kontekście/
3.	„Początki architektury – zaznaczanie i ograniczanie przestrzeni” /archetypy architektury, zaznaczenie miejsca, wygrodzenie i ograniczanie miejsca jako początek architektury, formy wygrodzenia, negatyw i pozytyw przestrzeni architektonicznej/
4.	„Alfabet tworzenia architektury: elementy komponowania” /tradycyjne i współczesne widzenie komponowania, trwałość i zmienność elementów składowych, cechy kompozycji, kanony i porządki, teoria Żurawskiego o budowie formy architektonicznej/
5.	„Miary architektury” /skala, wymiary, proporcje, Modulor Corbusiera, świadome złudzenia, relacje do człowieka, współczesne gubienie skali, płynność miar/ 
6.	„Nowe geometrie jako baza tworzenia najnowszej architektury” /geometria euklidesowa w architekturze, nowe geometrie nie-euklidesowe, nowe narzędzia geometrii, relacje geometrii do formy architektonicznej/
7.	„Tworzywo konstruowania i budowania” /materia architektury, rola materiału, refleksje Zumthora, materiał w konstruowaniu, stylistyka H.T. jako integracja konstrukcji i formy, nowe technologie i ich warsztat/
8.	„Kolor w architekturze” /definicje koloru i barwy, kolor w architekturze, kolor i barwa tworzywa architektury, znaczenie koloru, zmienność i moda koloru/.
9.	„Światło” /oświetlenie i światło, oświetlenie naturalne i sztuczne, słońce w architekturze wg. Twarowskiego, źródła światła sztucznego, malowanie światłem, nowe technologie światła/.
10.	„Zapis tworzenia architektury I – faza idei” /fazy projektu, zapis wizji, idei, tradycyjne techniki zapisu, zapisy Mistrzów /Corbusier, Ando, Botta, Jahn/, integracja zapisu tradycyjnego odręcznego z komputerowym/.
11.	„Zapis tworzenia architektury II – faza przekazu graficznego projektu” /zapisy normatywne projektu, prezentacje promocyjne, grafika wizualizacji, komponowanie prezentacji/
12.	„Rola znaczenia w architekturze” /pojęcia znaczenia, symbolu i znaku, znaczenie jako element tworzenia, przykłady: sacrum i dom, znaczenie poprzez formę, symbol i znak, trwałość i zmienność znaczenia/.
13.	„Projektowanie jako wielodyscyplinarna integracja” /złożoność architektury jako procesu tworzenia i jako produktu twórczego, przymus integracji i sprawność jej realizacji, cechy integracji, równoległość i równoczesność  w tworzeniu, techniki pracy umysłowej i twórczej, finalna integracja:”dzieło”/</w:t>
      </w:r>
    </w:p>
    <w:p>
      <w:pPr>
        <w:keepNext w:val="1"/>
        <w:spacing w:after="10"/>
      </w:pPr>
      <w:r>
        <w:rPr>
          <w:b/>
          <w:bCs/>
        </w:rPr>
        <w:t xml:space="preserve">Metody oceny: </w:t>
      </w:r>
    </w:p>
    <w:p>
      <w:pPr>
        <w:spacing w:before="20" w:after="190"/>
      </w:pPr>
      <w:r>
        <w:rPr/>
        <w:t xml:space="preserve">Test sprawdzający, zaliczeniowy wykładów</w:t>
      </w:r>
    </w:p>
    <w:p>
      <w:pPr>
        <w:keepNext w:val="1"/>
        <w:spacing w:after="10"/>
      </w:pPr>
      <w:r>
        <w:rPr>
          <w:b/>
          <w:bCs/>
        </w:rPr>
        <w:t xml:space="preserve">Egzamin: </w:t>
      </w:r>
    </w:p>
    <w:p>
      <w:pPr>
        <w:spacing w:before="20" w:after="190"/>
      </w:pPr>
      <w:r>
        <w:rPr/>
        <w:t xml:space="preserve">nie</w:t>
      </w:r>
    </w:p>
    <w:p>
      <w:pPr>
        <w:keepNext w:val="1"/>
        <w:spacing w:after="10"/>
      </w:pPr>
      <w:r>
        <w:rPr>
          <w:b/>
          <w:bCs/>
        </w:rPr>
        <w:t xml:space="preserve">Literatura: </w:t>
      </w:r>
    </w:p>
    <w:p>
      <w:pPr>
        <w:spacing w:before="20" w:after="190"/>
      </w:pPr>
      <w:r>
        <w:rPr/>
        <w:t xml:space="preserve">Literatura podstawowa:
E.T. Hall  Ukryty wymiar  Warszawa 1987
M.Leśniakowska  Co to jest architektura  Warszawa 1996
S.E. Rasmussen  Odczuwanie architektury   Warszawa 1999
B.Szmidt  Ład przestrzeni  Warszawa 1999
W.Tatarkiewicz  Dzieje sześciu pojęć  Warszawa 1988
Yi-Fu Tuan  Przestrzeń i miejsce  Warszawa 1987
P.Zumthor  Myślenie architekturą  Kraków 2010
P.Zumthor  Atmospheres  Basel Boston Berlin 2006
Literatura uzupełniająca:
B.van Berkel/C. Boss  Niepoprawni wizjonerzy  Warszawa 1999
A. de Botton  Architektura szczęścia  Warszawa 2010
Z.Herbert  Barbarzyńca w ogrodzie  Wrocław 1995
Z.Kamiński  Dzieje życia – w pogoni za sztuką  Warszawa 1975
K.Kucza-Kuczyński  Zawód-architekt  Warszawa 2004
Ch.Norberg-Schulz  Znaczenie w architekturze Zachodu  Warszawa 1999
M.Tulli  Sny i kamienie  Warszawa 1999</w:t>
      </w:r>
    </w:p>
    <w:p>
      <w:pPr>
        <w:keepNext w:val="1"/>
        <w:spacing w:after="10"/>
      </w:pPr>
      <w:r>
        <w:rPr>
          <w:b/>
          <w:bCs/>
        </w:rPr>
        <w:t xml:space="preserve">Witryna www przedmiotu: </w:t>
      </w:r>
    </w:p>
    <w:p>
      <w:pPr>
        <w:spacing w:before="20" w:after="190"/>
      </w:pPr>
      <w:r>
        <w:rPr/>
        <w:t xml:space="preserve">-</w:t>
      </w:r>
    </w:p>
    <w:p>
      <w:pPr>
        <w:keepNext w:val="1"/>
        <w:spacing w:after="10"/>
      </w:pPr>
      <w:r>
        <w:rPr>
          <w:b/>
          <w:bCs/>
        </w:rPr>
        <w:t xml:space="preserve">Uwagi: </w:t>
      </w:r>
    </w:p>
    <w:p>
      <w:pPr>
        <w:spacing w:before="20" w:after="190"/>
      </w:pPr>
      <w:r>
        <w:rPr/>
        <w:t xml:space="preserve">-</w:t>
      </w:r>
    </w:p>
    <w:p>
      <w:pPr>
        <w:pStyle w:val="Heading2"/>
      </w:pPr>
      <w:bookmarkStart w:id="1" w:name="_Toc1"/>
      <w:r>
        <w:t>Efekty przedmiotowe</w:t>
      </w:r>
      <w:bookmarkEnd w:id="1"/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2">
    <w:link w:val="Heading2Char"/>
    <w:name w:val="heading 2"/>
    <w:basedOn w:val="Normal"/>
    <w:pPr>
      <w:spacing w:before="40" w:after="190"/>
    </w:pPr>
    <w:rPr>
      <w:sz w:val="34"/>
      <w:szCs w:val="34"/>
      <w:b/>
      <w:bCs/>
    </w:rPr>
  </w:style>
  <w:style w:type="paragraph" w:styleId="Heading3">
    <w:link w:val="Heading3Char"/>
    <w:name w:val="heading 3"/>
    <w:basedOn w:val="Normal"/>
    <w:pPr>
      <w:spacing w:before="40" w:after="190"/>
    </w:pPr>
    <w:rPr>
      <w:sz w:val="26"/>
      <w:szCs w:val="26"/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2026-09-11T23:46:10+02:00</dcterms:created>
  <dcterms:modified xsi:type="dcterms:W3CDTF">2026-09-11T23:46:10+02:00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