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jęz. angielskiego na poziomie B1  zgodnie z Europejskim Opisem Kształcenia Językowego w zakresie języka ogólnego.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projektowanie (design), edukacja, projekty i inżynierskie, budownictwo. Słowotwórstwo – tworzenie 
przymiotników, czasowników i rzeczowników, rzeczowniki abstrakcyjne, określenia ilości i jakości. Słownictwo związane z takimi tematami jak reklama, biznes, projektowanie (design) oraz edukacja. Tworzenie przymiotników, czasowników i rzeczowników, rzeczowniki abstrakcyjne. Materiał gramatyczny: czasowniki modalne, zdania złożone względne, strona bierna, przedimki. 
Przymiotniki, słowotwórstwo – połączenia przymiotnika z rzeczownikiem oraz rzeczownika z rzeczownikiem, drugi okres warunkowy, stopniowanie przymiotników, czasy Past Continuous, Past Perfect, czasowniki modalne, zdania złożone względne.
Sprawności językowe: rozwój umiejętności mówienia, czytania i słuchania powiązanych z materiałem leksykalnym, pisanie sprawozdania i opisu procesu. 
 Rozwój umiejętności mówienia, czytania i słuchania powiązanych z materiałem leksykalnym, pisanie listu formalnego, tekstu wyrażającego opinię, emaila, sprawozdania.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 
▪ prace domowe 
▪ krótkie prace kontrolne 
▪ test końcowy  Wymagania do zaliczenia: 
obecność na zajęciach (dopuszczalne 2 nieusprawiedliwione nieobecności) 
▪ zaliczenie wszystkich prac kontrolnych 
▪ wykonanie wszystkich prac domowych 
▪ aktywne uczestnictwo w zajęciach 
▪ uzyskanie pozytywnej oceny z testu zaliczeniowego (waga oceny z testu zaliczeniowego w ocenie końcowej: 50%)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Language Leader Intermediate (wyd. Pearson Longman)
Dodatkowe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NJMOD34_W1: </w:t>
      </w:r>
    </w:p>
    <w:p>
      <w:pPr/>
      <w:r>
        <w:rPr/>
        <w:t xml:space="preserve">Student zna słownictwo dotyczące omawianych tematów, zna formy 
omawianych rodzajów tekstów, zna omawiane zagadnienia gramatyczne.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MiBM1_U02, MiBM1_U06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T1A_U02,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NJMOD34_K1: </w:t>
      </w:r>
    </w:p>
    <w:p>
      <w:pPr/>
      <w:r>
        <w:rPr/>
        <w:t xml:space="preserve">Student posiada umiejętność pracy w grupie, dostosowania kontekstu wypowiedzi do różnych sytuacji (np. na gruncie towarzyskim i oficjalnym), 
prowadzenia rozmowy i dyskusji.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2026-10-02T01:22:49+02:00</dcterms:created>
  <dcterms:modified xsi:type="dcterms:W3CDTF">2026-10-02T01:22:49+02:00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