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30 godz. - projekt,
b) 10 godz. - konsultacje.
2. Praca własna studenta: 35 godz., w tym:
a) 35 godz. - praca nad przygotowaniem projektu konstrukcyjnego.
3. Razem - 75 godzin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kontaktowych: 40, w tym:
a) 30 godz. - projekt,
b) 10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punktu ECTS - 65 godz., w tym:
a) uczestnictwo w zajęciach projektowych - 30 godz.,
b) 35 godz. pracy własnej - przygotowanie projektu konstrukcyjnego.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przedmiotów: "Wytrzymałość Konstrukcji II", "Materiały I", "Techniki Wytwarzania II", "Podstawy Konstrukcji Maszyn II", "Zapis Konstrukcji CAD III", "Zintegrowane systemy CAD/CAM/CAE".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zasad wykonywania projektów konstrukcyjno-obliczeniowych mechanizmów o średnim poziomie zaawansowania. Student nabywa umiejętności samodzielnego przeprowadzenia procesu konstruowania zakończonego wykonaniem dokumentacji rysunkowej urządzenia oraz obliczeń w zakresie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mechanizmu napędzanego przekładnią śrubową lub siłownikiem hydraulicznym. Wykonanie schematu kinematycznego. Dobór materiałów. Kształtowanie elementów i ich połączeń – wybór techniki wytwarzania. Dobór łożysk, zabezpieczeń i elementów napędu. Obliczenia statyki i wytrzymałości elementów. Wykonanie rysunku złożeniowego i rysunków warsztatowych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zajęć.
2. Sprawdzenie i ocena oddanej w ściśle określonym terminie dokumentacji rysunkowej i obliczeniowej.
3. Omówienie z prowadzącym sprawdzonego projektu – analiza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Podstawy konstrukcji maszyn, praca zbiorowa pod redakcją M.Dietricha, WNT.
2. Kurmaz L.W: Projektowanie węzłów i części maszyn, Wydawnictwo Politechniki Świętokrzyskiej.
3. Poradnik Mechanika.
4. Katalog Łożysk Tocznych.
5.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ML.NK463A_W1: </w:t>
      </w:r>
    </w:p>
    <w:p>
      <w:pPr/>
      <w:r>
        <w:rPr/>
        <w:t xml:space="preserve">							Zna zasady doboru materiałów konstrukcyjnych w procesie projektowania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ML.NK463A_W2: </w:t>
      </w:r>
    </w:p>
    <w:p>
      <w:pPr/>
      <w:r>
        <w:rPr/>
        <w:t xml:space="preserve">							Ma wiedzę w zakresie doboru pasowań i tolerowania wymiarów jako czynników wpływających na zdolność maszyny do wypełniania określonych funkcji oraz decydujących o trwałości, niezawodności, łatwości montażu i napraw.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MiBM1_W09, MiBM1_W10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T1A_W02, T1A_W03, T1A_W04, T1A_W05, T1A_W06,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ML.NK463A_U1: </w:t>
      </w:r>
    </w:p>
    <w:p>
      <w:pPr/>
      <w:r>
        <w:rPr/>
        <w:t xml:space="preserve">							Potrafi zaprojektować proste urządzenie mechaniczne stacjonarne realizujące ściśle określoną funkcję i spełniające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MiBM1_U07, MiBM1_U09, MiBM1_U10, MiBM1_U12,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T1A_U10, T1A_U14, T1A_U10, T1A_U10, T1A_U14, T1A_U16,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ML.NK463A_U2: </w:t>
      </w:r>
    </w:p>
    <w:p>
      <w:pPr/>
      <w:r>
        <w:rPr/>
        <w:t xml:space="preserve">							Potrafi sporządzić model uproszczony urządzenia pozwalający na przeprowadzenie poprawnej analizy w zakresie kinematyki i statyki.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ML.NK463A_U3: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stateczność warunkującą poprawne i bezpieczne funkcjonowanie.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ML.NK463A_U4: </w:t>
      </w:r>
    </w:p>
    <w:p>
      <w:pPr/>
      <w:r>
        <w:rPr/>
        <w:t xml:space="preserve">							Potrafi wykorzystywać systemy wspomagania projektowania typu CAD/CAE na wszystkich etapach projektowania.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ML.NK463A_U5: </w:t>
      </w:r>
    </w:p>
    <w:p>
      <w:pPr/>
      <w:r>
        <w:rPr/>
        <w:t xml:space="preserve">							Potrafi zaproponować i zastosować dla członów pary kinematycznej łatwe w montażu i demontażu obrotowe połączenie sworzniowe oraz jest w stanie zaproponować podparcie na łożyskach różnego typu o odpowiedniej trwałości i sprawności, właściwie osadzonych i zabezpieczonych.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T1A_U10, T1A_U13</w:t>
      </w:r>
    </w:p>
    <w:p>
      <w:pPr>
        <w:keepNext w:val="1"/>
        <w:spacing w:after="10"/>
      </w:pPr>
      <w:r>
        <w:rPr>
          <w:b/>
          <w:bCs/>
        </w:rPr>
        <w:t xml:space="preserve">Efekt ML.NK463A_U6: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MiBM1_U16,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ML.NK463A_U7: </w:t>
      </w:r>
    </w:p>
    <w:p>
      <w:pPr/>
      <w:r>
        <w:rPr/>
        <w:t xml:space="preserve">							Potrafi zaprojektować urządzenie, w którym przewidziano odpowiednie dostępy montażowe i obsługowe.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MiBM1_U10,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ML.NK463A_U8: </w:t>
      </w:r>
    </w:p>
    <w:p>
      <w:pPr/>
      <w:r>
        <w:rPr/>
        <w:t xml:space="preserve">							Potrafi odszukać i wykorzystywać odpowiednie normy, specyfikacje materiałów konstrukcyjnych i przepisy.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2025-06-13T08:07:33+02:00</dcterms:created>
  <dcterms:modified xsi:type="dcterms:W3CDTF">2025-06-13T08:07:33+02:00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