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wykładu;
b) 15 godz. laboratorium;
c) 5 godz. konsultacji.
2. Praca własna studenta - 
a) 25 godz. przygotowanie projektów;
b) 25 godz. - studiowanie literatury, przygotowanie się do kolokwiów.
Ogółem -100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wykładu;
b) 15 godz. laboratorium;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15 godz. laboratorium;
b) 25 godz. przygotowanie projektów;
c) 5 godz. konsultacji.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							Student posiada wiedzę odnośnie istoty oporu indukowanego oraz warunków i metod jego minimalizacji dla złożonych układów powierzchni nośnych.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 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LiK2_W03,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T2A_W05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ML.NS651_U1: </w:t>
      </w:r>
    </w:p>
    <w:p>
      <w:pPr/>
      <w:r>
        <w:rPr/>
        <w:t xml:space="preserve">							Umiejętność analizy charakterystyk aerodynamicznych profilu oraz jego projektowania z wykorzystaniem programu XFOIL.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2026-10-02T12:03:30+02:00</dcterms:created>
  <dcterms:modified xsi:type="dcterms:W3CDTF">2026-10-02T12:03:30+02:00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