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wymagających bezpośredniego kontaktu z opiekunem: 200, w tym:
a) spotkania i konsultacje - 199 godz. 
b) zaliczenie przedmiotu - 1 godz. 
2. Liczba godzin pracy własnej: 300.
Razem - 500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 - liczba godzin wymagających bezpośredniego kontaktu z opiekunem: 200, w tym:
a) spotkania i konsultacje - 199 godz. 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E2_U19,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E2_U02, E2_U03, E2_U04, E2_U07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ML.NW137_K2: </w:t>
      </w:r>
    </w:p>
    <w:p>
      <w:pPr/>
      <w:r>
        <w:rPr/>
        <w:t xml:space="preserve">Ma świadomość ważności i zrozumienie pozatechnicznych aspektów i skutków działalności inżynierskiej, w tym: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ML.NW137_K3: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2026-10-02T13:39:52+02:00</dcterms:created>
  <dcterms:modified xsi:type="dcterms:W3CDTF">2026-10-02T13:39:52+02:00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