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55, w tym:
a) wykład – 30 godz.,
b) laboratorium – 15 godz.,
c) konsultacje – 10 godz.
2. Praca własna studenta – 20 godzin, w tym:
a) 10 godz. – przygotowywanie się do laboratoriów i wykładów,
b) 10 godz. –przygotowywanie się do egzaminu.
Razem: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ECTS 2, Liczba godzin kontaktowych: 55, w tym:
a) wykład – 30 godz.,
b) laboratoria – 15 godz.,
c) 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- 23 godziny pracy studenta, w tym: 
a) udział w ćwiczeniach laboratoryjnych - 15 godzin,
b) przygotowywanie się do laboratorium - 8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wykorzystania kodu komercyjnego do symulacji prostych zjawisk przepływowych.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Przegląd modeli matematycznych i fizycznych w Mechanice Płynów. Sformułowanie zachowawcze i niezachowawcze. Podstawowe typy dyskretyzacji równań modelowych (warunki brzegowe i początkowe, stabilność, warunek CFL, bariera Godunowa). Ogólne algorytmy dla zadań nieliniowych (iteracje proste, kwazilinearyzacja, zamrażanie współczynników, iteracje w pseudoczasie). Symulacja przepływów nieściśliwych (sformułowanie równań ruchu płynu dla funkcji prądu i wirowości, metoda korekcji ciśnienia dla przepływów nieściśliwych, metoda sztucznej ściśliwości). Metoda objętości skończonych dla przepływów ściśliwych. Metoda podziału strumienia. Modelowanie nieciągłości (fal uderzeniowych). Podstawowe informacje na temat metod spektralnych.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trwania semestru  sprawdziany z teorii,  punktowy system oceny pracy i postępów studenta na zajęciach laboratoryjnych, indywidualny projekt semestralny. 
Na zakończenie semestru :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Hirsch, Charles, Numerical computation of internal and external flows, 2007.
2. Versteeg, Henk Kaarle, An introduction to computational fluid dynamics, 2007.
Dodatkowa literatura: materiały na stronie http://c-cfd.meil.pw.edu.pl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ML.NK348_W1: </w:t>
      </w:r>
    </w:p>
    <w:p>
      <w:pPr/>
      <w:r>
        <w:rPr/>
        <w:t xml:space="preserve">Zna podstawowe modele i równania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ML.NK348_W2: </w:t>
      </w:r>
    </w:p>
    <w:p>
      <w:pPr/>
      <w:r>
        <w:rPr/>
        <w:t xml:space="preserve">Zna podstawowe metody dyskretyzacji równań różniczkowych.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E2_W03, E2_W05, E2_W16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T2A_W01, T2A_W02, T2A_W07</w:t>
      </w:r>
    </w:p>
    <w:p>
      <w:pPr>
        <w:keepNext w:val="1"/>
        <w:spacing w:after="10"/>
      </w:pPr>
      <w:r>
        <w:rPr>
          <w:b/>
          <w:bCs/>
        </w:rPr>
        <w:t xml:space="preserve">Efekt ML.NK348_W3: </w:t>
      </w:r>
    </w:p>
    <w:p>
      <w:pPr/>
      <w:r>
        <w:rPr/>
        <w:t xml:space="preserve">Zna ograniczenia stabilnościowe metod dyskretyzacji.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E2_W03, E2_W16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ML.NK348_U1: </w:t>
      </w:r>
    </w:p>
    <w:p>
      <w:pPr/>
      <w:r>
        <w:rPr/>
        <w:t xml:space="preserve">Potrafi zdyskretyzować i rozwiązać proste zagadnienie brzegowe.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E2_U13, 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T2A_U10, T2A_U15</w:t>
      </w:r>
    </w:p>
    <w:p>
      <w:pPr>
        <w:keepNext w:val="1"/>
        <w:spacing w:after="10"/>
      </w:pPr>
      <w:r>
        <w:rPr>
          <w:b/>
          <w:bCs/>
        </w:rPr>
        <w:t xml:space="preserve">Efekt ML.NK348_U2: </w:t>
      </w:r>
    </w:p>
    <w:p>
      <w:pPr/>
      <w:r>
        <w:rPr/>
        <w:t xml:space="preserve">Potrafi, wykorzystując odpowiedni pakiet inżynierski, wykonać symulację prostego zagadnienia przepływowego a następnie zinterpretować krytycznie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E2_U20,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T2A_U16, T2A_U18, T2A_U19</w:t>
      </w:r>
    </w:p>
    <w:p>
      <w:pPr>
        <w:keepNext w:val="1"/>
        <w:spacing w:after="10"/>
      </w:pPr>
      <w:r>
        <w:rPr>
          <w:b/>
          <w:bCs/>
        </w:rPr>
        <w:t xml:space="preserve">Efekt ML.NK348_U3: </w:t>
      </w:r>
    </w:p>
    <w:p>
      <w:pPr/>
      <w:r>
        <w:rPr/>
        <w:t xml:space="preserve">Potrafi, wykorzystując odpowiedni pakiet inżynierski, przygotować siatkę obliczeniową dla prostego zagadnienia przepływowego.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ML.NK348_K1: </w:t>
      </w:r>
    </w:p>
    <w:p>
      <w:pPr/>
      <w:r>
        <w:rPr/>
        <w:t xml:space="preserve">Potrafi zidentyfikować i wyeliminować zagrożenia wynikające z błędnie przeprowadzonych symulacji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E2_K04, E2_K05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2025-05-13T02:01:54+02:00</dcterms:created>
  <dcterms:modified xsi:type="dcterms:W3CDTF">2025-05-13T02:01:54+02:00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