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Biomechanika kręgosłupa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ML.NS685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30 godz.,
b) konsultacje – 5 godz.
2. Praca własna studenta – 15 godzin, w tym:
a) 15 godz. – przygotowanie się studenta do kolokwium w trakcie semestru.
 Razem - 50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30 godz.,
b)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anatomią narządów ruchu. Przygotowanie do tworzenia modeli kręgosłupa.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Anatomia układu ruchowego człowieka, funkcje kręgosłupa; ogólna analiza mechaniczna, modelowanie i symulacja komputerowa w biomechanice; zastosowanie metody elementów skończonych (MES), modelowanie układu kręgosłupa, ilościowa analiza statyczna i dynamiczna. Zastosowania w ergonomii i medycynie. Biomechanika zderzeń. Urazy kręgosłupa.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Nałęcz M. red., "Tom 5 – Biomechanika i Inżynieria Rehabilitacyjna", Akademicka Oficyna Wyd. „Exit”, Warszawa, 2004.
2. Będziński R., „Biomechanika inżynierska - zagadnienia wybrane”, Oficyna Wydawnicza Politechniki Wrocławskiej, Wrocław 1997.
3. Gzik M.: "Biomechanika kręgosłupa człowieka", Wydawnictwo Politechniki Śląskiej, Gliwice 2007.
4. Bober T., Zawadzki J., „Biomechanika układu ruchu człowieka”, Wydawnictwo BK, Wrocław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ML.NS685_W1: </w:t>
      </w:r>
    </w:p>
    <w:p>
      <w:pPr/>
      <w:r>
        <w:rPr/>
        <w:t xml:space="preserve">Ma wiedzę w zakresie modelowania matematycznego kręgosłupa.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ML.NS685_U1: </w:t>
      </w:r>
    </w:p>
    <w:p>
      <w:pPr/>
      <w:r>
        <w:rPr/>
        <w:t xml:space="preserve">Potrafi integrować wiedzę z różnych dziedzin: mechaniki, medycyny, metod numerycznych.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T2A_U18</w:t>
      </w:r>
    </w:p>
    <w:p>
      <w:pPr>
        <w:keepNext w:val="1"/>
        <w:spacing w:after="10"/>
      </w:pPr>
      <w:r>
        <w:rPr>
          <w:b/>
          <w:bCs/>
        </w:rPr>
        <w:t xml:space="preserve">Efekt ML.NS685_U2: </w:t>
      </w:r>
    </w:p>
    <w:p>
      <w:pPr/>
      <w:r>
        <w:rPr/>
        <w:t xml:space="preserve">Potrafi udoskonalać modele biomechaniczne kręgosłupa.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2026-10-03T00:01:09+02:00</dcterms:created>
  <dcterms:modified xsi:type="dcterms:W3CDTF">2026-10-03T00:01:09+02:00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