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hab. inż. Paweł Pyrzanowski,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ML.NW125</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w tym:
a) wykłady - 15 godz.,
b) ćwiczenia - 15 godz.,
c) konsultacje - 10 godz.
2. Praca własna studenta – 40 godzin, w tym:
a) 10 godz.- przygotowywanie się do sprawdzianów,
b) 10 godz.- realizacja prac domowych,
c) 10 godz.-  przygotowywanie się do ćwiczeń (analiza literatury),
d) 10 godz.- przygotowywanie się do egzaminu.
Razem -  80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 40, w tym:
a) wykłady - 15 godz.,
b) ćwiczenia - 15 godz.,
c)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z przedmiotów: "Podstawy Konstrukcji Maszyn I",  "Mechanika II </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
</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ML.NW125_W1: </w:t>
      </w:r>
    </w:p>
    <w:p>
      <w:pPr/>
      <w:r>
        <w:rPr/>
        <w:t xml:space="preserve">							 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MiBM1_W06, MiBM1_W09</w:t>
      </w:r>
    </w:p>
    <w:p>
      <w:pPr>
        <w:spacing w:before="20" w:after="190"/>
      </w:pPr>
      <w:r>
        <w:rPr>
          <w:b/>
          <w:bCs/>
        </w:rPr>
        <w:t xml:space="preserve">Powiązane efekty obszarowe: </w:t>
      </w:r>
      <w:r>
        <w:rPr/>
        <w:t xml:space="preserve">T1A_W03, T1A_W04, T1A_W06, T1A_W07, T1A_W03, T1A_W06, T1A_W07</w:t>
      </w:r>
    </w:p>
    <w:p>
      <w:pPr>
        <w:pStyle w:val="Heading3"/>
      </w:pPr>
      <w:bookmarkStart w:id="3" w:name="_Toc3"/>
      <w:r>
        <w:t>Profil ogólnoakademicki - umiejętności</w:t>
      </w:r>
      <w:bookmarkEnd w:id="3"/>
    </w:p>
    <w:p>
      <w:pPr>
        <w:keepNext w:val="1"/>
        <w:spacing w:after="10"/>
      </w:pPr>
      <w:r>
        <w:rPr>
          <w:b/>
          <w:bCs/>
        </w:rPr>
        <w:t xml:space="preserve">Efekt ML.NW125_U1: </w:t>
      </w:r>
    </w:p>
    <w:p>
      <w:pPr/>
      <w:r>
        <w:rPr/>
        <w:t xml:space="preserve">							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MiBM1_U05, MiBM1_U09, MiBM1_U10, MiBM1_U11</w:t>
      </w:r>
    </w:p>
    <w:p>
      <w:pPr>
        <w:spacing w:before="20" w:after="190"/>
      </w:pPr>
      <w:r>
        <w:rPr>
          <w:b/>
          <w:bCs/>
        </w:rPr>
        <w:t xml:space="preserve">Powiązane efekty obszarowe: </w:t>
      </w:r>
      <w:r>
        <w:rPr/>
        <w:t xml:space="preserve">T1A_U05, T1A_U09, T1A_U10, T1A_U14, T1A_U10, T1A_U10, T1A_U14</w:t>
      </w:r>
    </w:p>
    <w:p>
      <w:pPr>
        <w:keepNext w:val="1"/>
        <w:spacing w:after="10"/>
      </w:pPr>
      <w:r>
        <w:rPr>
          <w:b/>
          <w:bCs/>
        </w:rPr>
        <w:t xml:space="preserve">Efekt ML.NW125_U2: </w:t>
      </w:r>
    </w:p>
    <w:p>
      <w:pPr/>
      <w:r>
        <w:rPr/>
        <w:t xml:space="preserve">							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MiBM1_U10, MiBM1_U11</w:t>
      </w:r>
    </w:p>
    <w:p>
      <w:pPr>
        <w:spacing w:before="20" w:after="190"/>
      </w:pPr>
      <w:r>
        <w:rPr>
          <w:b/>
          <w:bCs/>
        </w:rPr>
        <w:t xml:space="preserve">Powiązane efekty obszarowe: </w:t>
      </w:r>
      <w:r>
        <w:rPr/>
        <w:t xml:space="preserve">T1A_U10, T1A_U10, T1A_U14</w:t>
      </w:r>
    </w:p>
    <w:p>
      <w:pPr>
        <w:keepNext w:val="1"/>
        <w:spacing w:after="10"/>
      </w:pPr>
      <w:r>
        <w:rPr>
          <w:b/>
          <w:bCs/>
        </w:rPr>
        <w:t xml:space="preserve">Efekt ML.NW125_U3: </w:t>
      </w:r>
    </w:p>
    <w:p>
      <w:pPr/>
      <w:r>
        <w:rPr/>
        <w:t xml:space="preserve">							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MiBM1_U09, MiBM1_U10, MiBM1_U11</w:t>
      </w:r>
    </w:p>
    <w:p>
      <w:pPr>
        <w:spacing w:before="20" w:after="190"/>
      </w:pPr>
      <w:r>
        <w:rPr>
          <w:b/>
          <w:bCs/>
        </w:rPr>
        <w:t xml:space="preserve">Powiązane efekty obszarowe: </w:t>
      </w:r>
      <w:r>
        <w:rPr/>
        <w:t xml:space="preserve">T1A_U09, T1A_U10, T1A_U14, T1A_U10, T1A_U10, T1A_U14</w:t>
      </w:r>
    </w:p>
    <w:p>
      <w:pPr>
        <w:keepNext w:val="1"/>
        <w:spacing w:after="10"/>
      </w:pPr>
      <w:r>
        <w:rPr>
          <w:b/>
          <w:bCs/>
        </w:rPr>
        <w:t xml:space="preserve">Efekt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MiBM1_U09, MiBM1_U14</w:t>
      </w:r>
    </w:p>
    <w:p>
      <w:pPr>
        <w:spacing w:before="20" w:after="190"/>
      </w:pPr>
      <w:r>
        <w:rPr>
          <w:b/>
          <w:bCs/>
        </w:rPr>
        <w:t xml:space="preserve">Powiązane efekty obszarowe: </w:t>
      </w:r>
      <w:r>
        <w:rPr/>
        <w:t xml:space="preserve">T1A_U09, T1A_U10, T1A_U14, T1A_U14, T1A_U15</w:t>
      </w:r>
    </w:p>
    <w:p>
      <w:pPr>
        <w:keepNext w:val="1"/>
        <w:spacing w:after="10"/>
      </w:pPr>
      <w:r>
        <w:rPr>
          <w:b/>
          <w:bCs/>
        </w:rPr>
        <w:t xml:space="preserve">Efekt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MiBM1_U09, MiBM1_U10, MiBM1_U11, MiBM1_U14, MiBM1_U15</w:t>
      </w:r>
    </w:p>
    <w:p>
      <w:pPr>
        <w:spacing w:before="20" w:after="190"/>
      </w:pPr>
      <w:r>
        <w:rPr>
          <w:b/>
          <w:bCs/>
        </w:rPr>
        <w:t xml:space="preserve">Powiązane efekty obszarowe: </w:t>
      </w:r>
      <w:r>
        <w:rPr/>
        <w:t xml:space="preserve">T1A_U09, T1A_U10, T1A_U14, T1A_U10, T1A_U10, T1A_U14, T1A_U14, T1A_U15, T1A_U09, T1A_U14, T1A_U15</w:t>
      </w:r>
    </w:p>
    <w:p>
      <w:pPr>
        <w:keepNext w:val="1"/>
        <w:spacing w:after="10"/>
      </w:pPr>
      <w:r>
        <w:rPr>
          <w:b/>
          <w:bCs/>
        </w:rPr>
        <w:t xml:space="preserve">Efekt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MiBM1_U10, MiBM1_U11, MiBM1_U15, MiBM1_U17</w:t>
      </w:r>
    </w:p>
    <w:p>
      <w:pPr>
        <w:spacing w:before="20" w:after="190"/>
      </w:pPr>
      <w:r>
        <w:rPr>
          <w:b/>
          <w:bCs/>
        </w:rPr>
        <w:t xml:space="preserve">Powiązane efekty obszarowe: </w:t>
      </w:r>
      <w:r>
        <w:rPr/>
        <w:t xml:space="preserve">T1A_U10, T1A_U10, T1A_U14, T1A_U09, T1A_U14, T1A_U15, T1A_U10, T1A_U13</w:t>
      </w:r>
    </w:p>
    <w:p>
      <w:pPr>
        <w:keepNext w:val="1"/>
        <w:spacing w:after="10"/>
      </w:pPr>
      <w:r>
        <w:rPr>
          <w:b/>
          <w:bCs/>
        </w:rPr>
        <w:t xml:space="preserve">Efekt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MiBM1_U01, MiBM1_U09, MiBM1_U12, MiBM1_U16</w:t>
      </w:r>
    </w:p>
    <w:p>
      <w:pPr>
        <w:spacing w:before="20" w:after="190"/>
      </w:pPr>
      <w:r>
        <w:rPr>
          <w:b/>
          <w:bCs/>
        </w:rPr>
        <w:t xml:space="preserve">Powiązane efekty obszarowe: </w:t>
      </w:r>
      <w:r>
        <w:rPr/>
        <w:t xml:space="preserve">T1A_U01, T1A_U06, T1A_U09, T1A_U10, T1A_U14, T1A_U10, T1A_U14, T1A_U16, T1A_U15, T1A_U16</w:t>
      </w:r>
    </w:p>
    <w:p>
      <w:pPr>
        <w:keepNext w:val="1"/>
        <w:spacing w:after="10"/>
      </w:pPr>
      <w:r>
        <w:rPr>
          <w:b/>
          <w:bCs/>
        </w:rPr>
        <w:t xml:space="preserve">Efekt ML.NW125_U8: </w:t>
      </w:r>
    </w:p>
    <w:p>
      <w:pPr/>
      <w:r>
        <w:rPr/>
        <w:t xml:space="preserve">							Potrafi stosować w praktyce zalecenia norm dotyczące cech geometrycznych typowych elementów oraz ich właściwości fizycznych, w tym: wytrzymałościowych. Potrafi korzystać z katalogów typowych zespołów oraz materiałów konstrukcyjnych.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MiBM1_U01, MiBM1_U10</w:t>
      </w:r>
    </w:p>
    <w:p>
      <w:pPr>
        <w:spacing w:before="20" w:after="190"/>
      </w:pPr>
      <w:r>
        <w:rPr>
          <w:b/>
          <w:bCs/>
        </w:rPr>
        <w:t xml:space="preserve">Powiązane efekty obszarowe: </w:t>
      </w:r>
      <w:r>
        <w:rPr/>
        <w:t xml:space="preserve">T1A_U01, T1A_U06, T1A_U10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2025-05-05T11:44:49+02:00</dcterms:created>
  <dcterms:modified xsi:type="dcterms:W3CDTF">2025-05-05T11:44:49+02:00</dcterms:modified>
</cp:coreProperties>
</file>

<file path=docProps/custom.xml><?xml version="1.0" encoding="utf-8"?>
<Properties xmlns="http://schemas.openxmlformats.org/officeDocument/2006/custom-properties" xmlns:vt="http://schemas.openxmlformats.org/officeDocument/2006/docPropsVTypes"/>
</file>