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techniki lotniczej i kosmonautycznej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Goetzendorf-Grabowski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ML.NK466A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- 33, w tym:
a) wykład - 15 godz.,
b) zajęcia projektowe - 15 godz.,
c) konsultacje - 5 godz.
2. Praca własna studenta - przygotowanie projektów i prezentacji, 45 godzin.
Razem: 75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 punktu ECTS - liczba godzin kontaktowych - 33, w tym:
a) wykład - 15 godz.,
b) zajęcia projektowe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- 65 godzin, w tym:
a) zajęcia projektowe - 15 godz.,
b) konsultacje - 5 godz.
c) praca własna studenta - przygotowanie projektów i prezentacji, 45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I, Analiza II, Mechanika I, Mechanika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techniki lotniczej i problemów związanych lotnictwem jako dziedziny gospodarki.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Historia rozwoju lotnictwa. Statki powietrzne, rakiety, klasyfikacja. Wymagania w zakresie budowy i eksploatacji statków powietrznych. Przepisy JAR. FAR i inne. Zespoły główne i ich przeznaczenie. Terminologia lotnicza. Fazy tworzenia, eksploatacji, przechowywania i kasacji statków powietrznych. Badania i certyfikacja statków powietrznych. Nadzór państwowy nad eksploatacją. Nowe wyzwania w lotnictwie XXI wieku: konkurencyjność, bezpieczeństwo, ochrona środowiska..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projektów. Ocena prezentacji przygotowanego przez studenta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• Przewodnik po projektach dostępny na stronie internetowej: http://meil.pw.edu.pl/zsis/ZSiS/Dydaktyka/Prowadzone-przedmioty/WTLK.
• J.D. Andreson, Jr.– Introduction to Flight, McGraw-Hill , 2004 • H.C. „Skip” Smith, The Illustrated Guide to Aerodynamics, TAB Books, McGraw-Hill, Inc., 1992.
• Wybrane wykłady w wersji elektronicznej.
 Dodatkowa literatura: 
• D.P. Raymer, Aircraft Design, a Conceptual Approach, AIAA Education Series.
 • Siegmund Brandt, Analiza danych - metody statystyczne i obliczeniowe, Wydawnictwo Naukowe PWN, Warszawa 1998.
 • Lesław Gajek, Marek Kałuszka, Wnioskowanie statystyczne - modele i metody, Wydawnictwa Naukowo Techniczne WNT, Warszawa 1996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http://meil.pw.edu.pl/zsis/ZSiS/Dydaktyka/Prowadzone-przedmioty/WTLK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ML.NK466A_W1: </w:t>
      </w:r>
    </w:p>
    <w:p>
      <w:pPr/>
      <w:r>
        <w:rPr/>
        <w:t xml:space="preserve">							Student zna podstawy techniki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LiK1_W17,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T1A_W07</w:t>
      </w:r>
    </w:p>
    <w:p>
      <w:pPr>
        <w:keepNext w:val="1"/>
        <w:spacing w:after="10"/>
      </w:pPr>
      <w:r>
        <w:rPr>
          <w:b/>
          <w:bCs/>
        </w:rPr>
        <w:t xml:space="preserve">Efekt ML.NK466A_W2: </w:t>
      </w:r>
    </w:p>
    <w:p>
      <w:pPr/>
      <w:r>
        <w:rPr/>
        <w:t xml:space="preserve">							Student zna międzynarodowe umiejscowienie lotnictwa oraz podstawowe akty prawne.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ML.NK466A_W3: </w:t>
      </w:r>
    </w:p>
    <w:p>
      <w:pPr/>
      <w:r>
        <w:rPr/>
        <w:t xml:space="preserve">							Student wie jak przeprowadzić analizę trendów.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ML.NK466A_U1: </w:t>
      </w:r>
    </w:p>
    <w:p>
      <w:pPr/>
      <w:r>
        <w:rPr/>
        <w:t xml:space="preserve">Student potrafi przeprowadzić analizę trendów.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</w:t>
      </w:r>
    </w:p>
    <w:p>
      <w:pPr>
        <w:keepNext w:val="1"/>
        <w:spacing w:after="10"/>
      </w:pPr>
      <w:r>
        <w:rPr>
          <w:b/>
          <w:bCs/>
        </w:rPr>
        <w:t xml:space="preserve">Efekt ML.NK466A_U2: </w:t>
      </w:r>
    </w:p>
    <w:p>
      <w:pPr/>
      <w:r>
        <w:rPr/>
        <w:t xml:space="preserve">														Student potrafi przygotować i przedstawić krótką prezentację poświęconą wynikom realizacji zadania inżynierskiego z zakresu lotnictwa.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LiK1_U02, LiK1_U04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ML.NK466A_K1: </w:t>
      </w:r>
    </w:p>
    <w:p>
      <w:pPr/>
      <w:r>
        <w:rPr/>
        <w:t xml:space="preserve">Student potrafi pracować w grupie.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grupowy.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ML.NK466A_K2: </w:t>
      </w:r>
    </w:p>
    <w:p>
      <w:pPr/>
      <w:r>
        <w:rPr/>
        <w:t xml:space="preserve">							Student potrafi przekazywać wiedzę/informację szerszemu gronu słuchaczy.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przed całą grupą.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2025-05-11T05:09:48+02:00</dcterms:created>
  <dcterms:modified xsi:type="dcterms:W3CDTF">2025-05-11T05:09:48+02:00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