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PW; dr inż. Adam Gałęzia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336</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Łącznie 80 godzin, w tym 10 godzin wykładów, 20 godzin zajęć laboratoryjnych, 20 godzin studiów literaturowych, 20 godzin przygotowania do zajęć laboratoryjnych i 10 godzin przygotowania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(zaliczony przedmiot „Wprowadzenie do przetwarzania obrazów”). Umiejętności obsługi komputera, podstawowa wiedza w zakresie programowania w środowisku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akwizycji, przetwarzania i analizy obrazów. Nauczenie studentów budowy programów służących do akwizycji, przetwarzania i analizy obrazów.</w:t>
      </w:r>
    </w:p>
    <w:p>
      <w:pPr>
        <w:keepNext w:val="1"/>
        <w:spacing w:after="10"/>
      </w:pPr>
      <w:r>
        <w:rPr>
          <w:b/>
          <w:bCs/>
        </w:rPr>
        <w:t xml:space="preserve">Treści kształcenia: </w:t>
      </w:r>
    </w:p>
    <w:p>
      <w:pPr>
        <w:spacing w:before="20" w:after="190"/>
      </w:pPr>
      <w:r>
        <w:rPr/>
        <w:t xml:space="preserve">Wykład: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Laboratorium: Wprowadzenie do Przyborników Akwizycji i Przetwarzania Obrazów (Image Acquisition Toolbox, Image Processing Toolbox) środowiska Matlab. Struktury danych stosowanych do reprezentacji obrazów i metody ich konwersji. Dyskretna struktura obrazów cyfrowych. Przekształcenia geometryczne, arytmetyczne i logiczne obrazów. Przekształcenia punktowe obrazu. Filtracja kontekstowa obrazu. Transformacja Fouriera obrazów cyfrowych. Przekształcenia morfologiczne obrazu. Detekcja linii konturowych za pomocą transformaty Hough'a. Segmentacja obrazu. Wyznaczanie cech figur (obiektów) obrazu. Rejestracja i analiza obrazów w środowisku LabVIEW.
</w:t>
      </w:r>
    </w:p>
    <w:p>
      <w:pPr>
        <w:keepNext w:val="1"/>
        <w:spacing w:after="10"/>
      </w:pPr>
      <w:r>
        <w:rPr>
          <w:b/>
          <w:bCs/>
        </w:rPr>
        <w:t xml:space="preserve">Metody oceny: </w:t>
      </w:r>
    </w:p>
    <w:p>
      <w:pPr>
        <w:spacing w:before="20" w:after="190"/>
      </w:pPr>
      <w:r>
        <w:rPr/>
        <w:t xml:space="preserve">ocena z kolokwium i ocena końcowa z laboratorium tworzą ocenę końcową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R.S. Choraś, Komputerowa wizja. Metody interpretacji i identyfikacji obiektów. Akademicka Oficyna Wydawnicza EXIT, Warszawa, 2005.
[6] W. Malina, M. Smiatacz, Cyfrowe przetwarzanie obrazów. Akademicka Oficyna Wydawnicza EXIT, Warszawa, 2008.
[7] W. Kasprzak, Rozpoznawanie obrazów i sygnałów mowy. Oficyna Wydawnicza Politechniki Warszawskiej, Warszawa, 2009.
[8] D. Sankowski, V. Mosorov, K. Strzecha, Przetwarzanie i analiza obrazów w systemach przemysłowych. Wybrane zastosowania.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2026-09-09T11:52:53+02:00</dcterms:created>
  <dcterms:modified xsi:type="dcterms:W3CDTF">2026-09-09T11:52:53+02:00</dcterms:modified>
</cp:coreProperties>
</file>

<file path=docProps/custom.xml><?xml version="1.0" encoding="utf-8"?>
<Properties xmlns="http://schemas.openxmlformats.org/officeDocument/2006/custom-properties" xmlns:vt="http://schemas.openxmlformats.org/officeDocument/2006/docPropsVTypes"/>
</file>