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keepNext w:val="1"/>
        <w:spacing w:after="10"/>
      </w:pPr>
      <w:r>
        <w:rPr>
          <w:b/>
          <w:bCs/>
        </w:rPr>
        <w:t xml:space="preserve">Nazwa przedmiotu: </w:t>
      </w:r>
    </w:p>
    <w:p>
      <w:pPr>
        <w:spacing w:before="20" w:after="190"/>
      </w:pPr>
      <w:r>
        <w:rPr/>
        <w:t xml:space="preserve">Zastosowanie Neutronów w Badaniach i Technologii Materiałów /Application of Neutrons in Materials Science and Technology</w:t>
      </w:r>
    </w:p>
    <w:p>
      <w:pPr>
        <w:keepNext w:val="1"/>
        <w:spacing w:after="10"/>
      </w:pPr>
      <w:r>
        <w:rPr>
          <w:b/>
          <w:bCs/>
        </w:rPr>
        <w:t xml:space="preserve">Koordynator przedmiotu: </w:t>
      </w:r>
    </w:p>
    <w:p>
      <w:pPr>
        <w:spacing w:before="20" w:after="190"/>
      </w:pPr>
      <w:r>
        <w:rPr/>
        <w:t xml:space="preserve">dr Jacek J. Milczarek</w:t>
      </w:r>
    </w:p>
    <w:p>
      <w:pPr>
        <w:keepNext w:val="1"/>
        <w:spacing w:after="10"/>
      </w:pPr>
      <w:r>
        <w:rPr>
          <w:b/>
          <w:bCs/>
        </w:rPr>
        <w:t xml:space="preserve">Status przedmiotu: </w:t>
      </w:r>
    </w:p>
    <w:p>
      <w:pPr>
        <w:spacing w:before="20" w:after="190"/>
      </w:pPr>
      <w:r>
        <w:rPr/>
        <w:t xml:space="preserve">Fakultatywny dowolnego wyboru</w:t>
      </w:r>
    </w:p>
    <w:p>
      <w:pPr>
        <w:keepNext w:val="1"/>
        <w:spacing w:after="10"/>
      </w:pPr>
      <w:r>
        <w:rPr>
          <w:b/>
          <w:bCs/>
        </w:rPr>
        <w:t xml:space="preserve">Poziom kształcenia: </w:t>
      </w:r>
    </w:p>
    <w:p>
      <w:pPr>
        <w:spacing w:before="20" w:after="190"/>
      </w:pPr>
      <w:r>
        <w:rPr/>
        <w:t xml:space="preserve">Studia I stopnia</w:t>
      </w:r>
    </w:p>
    <w:p>
      <w:pPr>
        <w:keepNext w:val="1"/>
        <w:spacing w:after="10"/>
      </w:pPr>
      <w:r>
        <w:rPr>
          <w:b/>
          <w:bCs/>
        </w:rPr>
        <w:t xml:space="preserve">Program: </w:t>
      </w:r>
    </w:p>
    <w:p>
      <w:pPr>
        <w:spacing w:before="20" w:after="190"/>
      </w:pPr>
      <w:r>
        <w:rPr/>
        <w:t xml:space="preserve">Inżynieria Materiałowa</w:t>
      </w:r>
    </w:p>
    <w:p>
      <w:pPr>
        <w:keepNext w:val="1"/>
        <w:spacing w:after="10"/>
      </w:pPr>
      <w:r>
        <w:rPr>
          <w:b/>
          <w:bCs/>
        </w:rPr>
        <w:t xml:space="preserve">Grupa przedmiotów: </w:t>
      </w:r>
    </w:p>
    <w:p>
      <w:pPr>
        <w:spacing w:before="20" w:after="190"/>
      </w:pPr>
      <w:r>
        <w:rPr/>
        <w:t xml:space="preserve">Obieralne</w:t>
      </w:r>
    </w:p>
    <w:p>
      <w:pPr>
        <w:keepNext w:val="1"/>
        <w:spacing w:after="10"/>
      </w:pPr>
      <w:r>
        <w:rPr>
          <w:b/>
          <w:bCs/>
        </w:rPr>
        <w:t xml:space="preserve">Kod przedmiotu: </w:t>
      </w:r>
    </w:p>
    <w:p>
      <w:pPr>
        <w:spacing w:before="20" w:after="190"/>
      </w:pPr>
      <w:r>
        <w:rPr/>
        <w:t xml:space="preserve">ZNBTM</w:t>
      </w:r>
    </w:p>
    <w:p>
      <w:pPr>
        <w:keepNext w:val="1"/>
        <w:spacing w:after="10"/>
      </w:pPr>
      <w:r>
        <w:rPr>
          <w:b/>
          <w:bCs/>
        </w:rPr>
        <w:t xml:space="preserve">Semestr nominalny: </w:t>
      </w:r>
    </w:p>
    <w:p>
      <w:pPr>
        <w:spacing w:before="20" w:after="190"/>
      </w:pPr>
      <w:r>
        <w:rPr/>
        <w:t xml:space="preserve">7 / rok ak. 2015/2016</w:t>
      </w:r>
    </w:p>
    <w:p>
      <w:pPr>
        <w:keepNext w:val="1"/>
        <w:spacing w:after="10"/>
      </w:pPr>
      <w:r>
        <w:rPr>
          <w:b/>
          <w:bCs/>
        </w:rPr>
        <w:t xml:space="preserve">Liczba punktów ECTS: </w:t>
      </w:r>
    </w:p>
    <w:p>
      <w:pPr>
        <w:spacing w:before="20" w:after="190"/>
      </w:pPr>
      <w:r>
        <w:rPr/>
        <w:t xml:space="preserve">1</w:t>
      </w:r>
    </w:p>
    <w:p>
      <w:pPr>
        <w:keepNext w:val="1"/>
        <w:spacing w:after="10"/>
      </w:pPr>
      <w:r>
        <w:rPr>
          <w:b/>
          <w:bCs/>
        </w:rPr>
        <w:t xml:space="preserve">Liczba godzin pracy studenta związanych z osiągnięciem efektów uczenia się: </w:t>
      </w:r>
    </w:p>
    <w:p>
      <w:pPr>
        <w:spacing w:before="20" w:after="190"/>
      </w:pPr>
      <w:r>
        <w:rPr/>
        <w:t xml:space="preserve">Obecność na wykładach - 15 godz. zapoznanie się ze wskazana literaturą i przygotowanie do kolokwium – 15 godz.</w:t>
      </w:r>
    </w:p>
    <w:p>
      <w:pPr>
        <w:keepNext w:val="1"/>
        <w:spacing w:after="10"/>
      </w:pPr>
      <w:r>
        <w:rPr>
          <w:b/>
          <w:bCs/>
        </w:rPr>
        <w:t xml:space="preserve">Liczba punktów ECTS na zajęciach wymagających bezpośredniego udziału nauczycieli akademickich: </w:t>
      </w:r>
    </w:p>
    <w:p>
      <w:pPr>
        <w:spacing w:before="20" w:after="190"/>
      </w:pPr>
      <w:r>
        <w:rPr/>
        <w:t xml:space="preserve">0,5 ECTS (wykład - 15 godz.)</w:t>
      </w:r>
    </w:p>
    <w:p>
      <w:pPr>
        <w:keepNext w:val="1"/>
        <w:spacing w:after="10"/>
      </w:pPr>
      <w:r>
        <w:rPr>
          <w:b/>
          <w:bCs/>
        </w:rPr>
        <w:t xml:space="preserve">Język prowadzenia zajęć: </w:t>
      </w:r>
    </w:p>
    <w:p>
      <w:pPr>
        <w:spacing w:before="20" w:after="190"/>
      </w:pPr>
      <w:r>
        <w:rPr/>
        <w:t xml:space="preserve">polski</w:t>
      </w:r>
    </w:p>
    <w:p>
      <w:pPr>
        <w:keepNext w:val="1"/>
        <w:spacing w:after="10"/>
      </w:pPr>
      <w:r>
        <w:rPr>
          <w:b/>
          <w:bCs/>
        </w:rPr>
        <w:t xml:space="preserve">Liczba punktów ECTS, którą student uzyskuje w ramach zajęć o charakterze praktycznym: </w:t>
      </w:r>
    </w:p>
    <w:p>
      <w:pPr>
        <w:spacing w:before="20" w:after="190"/>
      </w:pPr>
      <w:r>
        <w:rPr/>
        <w:t xml:space="preserve">-</w:t>
      </w:r>
    </w:p>
    <w:p>
      <w:pPr>
        <w:keepNext w:val="1"/>
        <w:spacing w:after="10"/>
      </w:pPr>
      <w:r>
        <w:rPr>
          <w:b/>
          <w:bCs/>
        </w:rPr>
        <w:t xml:space="preserve">Formy zajęć i ich wymiar w semestrze: </w:t>
      </w:r>
    </w:p>
    <w:tbl>
      <w:tblGrid>
        <w:gridCol w:w="2200" w:type="dxa"/>
        <w:gridCol w:w="2200" w:type="dxa"/>
      </w:tblGrid>
      <w:tblPr>
        <w:tblW w:w="2500" w:type="auto"/>
        <w:tblBorders>
          <w:top w:val="single" w:sz="0" w:color="FFFFFF"/>
          <w:left w:val="single" w:sz="0" w:color="FFFFFF"/>
          <w:right w:val="single" w:sz="0" w:color="FFFFFF"/>
          <w:bottom w:val="single" w:sz="0" w:color="FFFFFF"/>
          <w:insideH w:val="single" w:sz="0" w:color="FFFFFF"/>
          <w:insideV w:val="single" w:sz="0" w:color="FFFFFF"/>
        </w:tblBorders>
      </w:tblP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Wykład: </w:t>
            </w:r>
          </w:p>
        </w:tc>
        <w:tc>
          <w:tcPr>
            <w:tcW w:w="2200" w:type="dxa"/>
          </w:tcPr>
          <w:p>
            <w:pPr/>
            <w:r>
              <w:rPr/>
              <w:t xml:space="preserve">15h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Ćwiczenia: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Laboratorium: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Projekt: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Lekcje komputerowe: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</w:tbl>
    <w:p/>
    <w:p>
      <w:pPr>
        <w:keepNext w:val="1"/>
        <w:spacing w:after="10"/>
      </w:pPr>
      <w:r>
        <w:rPr>
          <w:b/>
          <w:bCs/>
        </w:rPr>
        <w:t xml:space="preserve">Wymagania wstępne: </w:t>
      </w:r>
    </w:p>
    <w:p>
      <w:pPr>
        <w:spacing w:before="20" w:after="190"/>
      </w:pPr>
      <w:r>
        <w:rPr/>
        <w:t xml:space="preserve">brak</w:t>
      </w:r>
    </w:p>
    <w:p>
      <w:pPr>
        <w:keepNext w:val="1"/>
        <w:spacing w:after="10"/>
      </w:pPr>
      <w:r>
        <w:rPr>
          <w:b/>
          <w:bCs/>
        </w:rPr>
        <w:t xml:space="preserve">Limit liczby studentów: </w:t>
      </w:r>
    </w:p>
    <w:p>
      <w:pPr>
        <w:spacing w:before="20" w:after="190"/>
      </w:pPr>
      <w:r>
        <w:rPr/>
        <w:t xml:space="preserve">bez limitu</w:t>
      </w:r>
    </w:p>
    <w:p>
      <w:pPr>
        <w:keepNext w:val="1"/>
        <w:spacing w:after="10"/>
      </w:pPr>
      <w:r>
        <w:rPr>
          <w:b/>
          <w:bCs/>
        </w:rPr>
        <w:t xml:space="preserve">Cel przedmiotu: </w:t>
      </w:r>
    </w:p>
    <w:p>
      <w:pPr>
        <w:spacing w:before="20" w:after="190"/>
      </w:pPr>
      <w:r>
        <w:rPr/>
        <w:t xml:space="preserve">Przekazanie studentom aktualnej wiedzy z zakresu zastosowania neutronów termicznych w badaniach struktury materiałów oraz technik radiacyjnych modyfikacji właściwości materiałów przy użyciu neutronów. </w:t>
      </w:r>
    </w:p>
    <w:p>
      <w:pPr>
        <w:keepNext w:val="1"/>
        <w:spacing w:after="10"/>
      </w:pPr>
      <w:r>
        <w:rPr>
          <w:b/>
          <w:bCs/>
        </w:rPr>
        <w:t xml:space="preserve">Treści kształcenia: </w:t>
      </w:r>
    </w:p>
    <w:p>
      <w:pPr>
        <w:spacing w:before="20" w:after="190"/>
      </w:pPr>
      <w:r>
        <w:rPr/>
        <w:t xml:space="preserve">Podstawowe właściwości neutronów (masa, ładunek, moment magnetyczny). Oddziaływanie neutronów z materią. Metody detekcji neutronów. Wytwarzanie neutronów: reakcje jądrowe, reaktory jądrowe, źródła spalacyjne, epitermiczne, termiczne, zimne i ultrazimne. Rozpraszanie i pochłanianie neutronów przez różne izotopy. Produkcja izotopów w reaktorach jądrowych. Różnice pomiędzy rozpraszaniem neutronów i promieniowania rentgenowskiego. Rozpraszanie elastyczne i nieelastyczne. Podstawowe przyrządy do badania rozpraszania neutronów: dyfraktometry i spektrometry neutronowe. Badanie struktury atomowej i magnetycznej przy użyciu neutronów termicznych. Małokątowe rozpraszanie neutronów: badanie rozpadów fazowych i nanoniejednorodności. Wyznaczanie charakterystyk struktur fraktalnych. Nieelastyczne rozpraszanie neutronów – wyznaczanie relacji dyspersji drgań sieci atomowych i magnetycznych. Neutrony w technologii – transmutacyjne domieszkowanie  półprzewodników, wytwarzanie defektów. Neutrony w medycynie: terapia borowo – neutronowa. Radiografia i tomografia neutronowa.</w:t>
      </w:r>
    </w:p>
    <w:p>
      <w:pPr>
        <w:keepNext w:val="1"/>
        <w:spacing w:after="10"/>
      </w:pPr>
      <w:r>
        <w:rPr>
          <w:b/>
          <w:bCs/>
        </w:rPr>
        <w:t xml:space="preserve">Metody oceny: </w:t>
      </w:r>
    </w:p>
    <w:p>
      <w:pPr>
        <w:spacing w:before="20" w:after="190"/>
      </w:pPr>
      <w:r>
        <w:rPr/>
        <w:t xml:space="preserve">Kolokwium zaliczeniowe </w:t>
      </w:r>
    </w:p>
    <w:p>
      <w:pPr>
        <w:keepNext w:val="1"/>
        <w:spacing w:after="10"/>
      </w:pPr>
      <w:r>
        <w:rPr>
          <w:b/>
          <w:bCs/>
        </w:rPr>
        <w:t xml:space="preserve">Egzamin: </w:t>
      </w:r>
    </w:p>
    <w:p>
      <w:pPr>
        <w:spacing w:before="20" w:after="190"/>
      </w:pPr>
      <w:r>
        <w:rPr/>
        <w:t xml:space="preserve">tak</w:t>
      </w:r>
    </w:p>
    <w:p>
      <w:pPr>
        <w:keepNext w:val="1"/>
        <w:spacing w:after="10"/>
      </w:pPr>
      <w:r>
        <w:rPr>
          <w:b/>
          <w:bCs/>
        </w:rPr>
        <w:t xml:space="preserve">Literatura: </w:t>
      </w:r>
    </w:p>
    <w:p>
      <w:pPr>
        <w:spacing w:before="20" w:after="190"/>
      </w:pPr>
      <w:r>
        <w:rPr/>
        <w:t xml:space="preserve">Materiały wykładowe,
J. Leciejewicz „Wstęp do dyfraktometrii neutronów”, Wyd. PW, Warszawa 1979,
L. Pająk, B. Bierska-Piech „Nanoniejednorodności materiałów a efekt małokątowego rozpraszania promieni rentgenowskich i neutronów”, Wyd. UŚl, Katowice 2010,
„Metody komplementarne w badaniach faz skondensowanych”, red. J. Chruściel, A. Szytuła, W. Zając, Wyd. Akademii Podlaskiej, Siedlce 2008
</w:t>
      </w:r>
    </w:p>
    <w:p>
      <w:pPr>
        <w:keepNext w:val="1"/>
        <w:spacing w:after="10"/>
      </w:pPr>
      <w:r>
        <w:rPr>
          <w:b/>
          <w:bCs/>
        </w:rPr>
        <w:t xml:space="preserve">Witryna www przedmiotu: </w:t>
      </w:r>
    </w:p>
    <w:p>
      <w:pPr>
        <w:spacing w:before="20" w:after="190"/>
      </w:pPr>
      <w:r>
        <w:rPr/>
        <w:t xml:space="preserve">brak</w:t>
      </w:r>
    </w:p>
    <w:p>
      <w:pPr>
        <w:keepNext w:val="1"/>
        <w:spacing w:after="10"/>
      </w:pPr>
      <w:r>
        <w:rPr>
          <w:b/>
          <w:bCs/>
        </w:rPr>
        <w:t xml:space="preserve">Uwagi: </w:t>
      </w:r>
    </w:p>
    <w:p>
      <w:pPr>
        <w:spacing w:before="20" w:after="190"/>
      </w:pPr>
      <w:r>
        <w:rPr/>
        <w:t xml:space="preserve">-</w:t>
      </w:r>
    </w:p>
    <w:p>
      <w:pPr>
        <w:pStyle w:val="Heading2"/>
      </w:pPr>
      <w:bookmarkStart w:id="1" w:name="_Toc1"/>
      <w:r>
        <w:t>Efekty przedmiotowe</w:t>
      </w:r>
      <w:bookmarkEnd w:id="1"/>
    </w:p>
    <w:p>
      <w:pPr>
        <w:pStyle w:val="Heading3"/>
      </w:pPr>
      <w:bookmarkStart w:id="2" w:name="_Toc2"/>
      <w:r>
        <w:t>Profil ogólnoakademicki - wiedza</w:t>
      </w:r>
      <w:bookmarkEnd w:id="2"/>
    </w:p>
    <w:p>
      <w:pPr>
        <w:keepNext w:val="1"/>
        <w:spacing w:after="10"/>
      </w:pPr>
      <w:r>
        <w:rPr>
          <w:b/>
          <w:bCs/>
        </w:rPr>
        <w:t xml:space="preserve">Efekt DN_W1: </w:t>
      </w:r>
    </w:p>
    <w:p>
      <w:pPr/>
      <w:r>
        <w:rPr/>
        <w:t xml:space="preserve">Zna źródła wytwarzania neutronów, ich właściwości i metody detekcji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Pozytywne wyniki kolokwium z materiału wykładowego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IM_W02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T1A_W01</w:t>
      </w:r>
    </w:p>
    <w:p>
      <w:pPr>
        <w:keepNext w:val="1"/>
        <w:spacing w:after="10"/>
      </w:pPr>
      <w:r>
        <w:rPr>
          <w:b/>
          <w:bCs/>
        </w:rPr>
        <w:t xml:space="preserve">Efekt DN_W2: </w:t>
      </w:r>
    </w:p>
    <w:p>
      <w:pPr/>
      <w:r>
        <w:rPr/>
        <w:t xml:space="preserve">Zna budowę przyrządów do badania rozpraszania neutronów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Pozytywne wyniki kolokwium z materiału wykładowego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IM_W11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T1A_W05</w:t>
      </w:r>
    </w:p>
    <w:p>
      <w:pPr>
        <w:keepNext w:val="1"/>
        <w:spacing w:after="10"/>
      </w:pPr>
      <w:r>
        <w:rPr>
          <w:b/>
          <w:bCs/>
        </w:rPr>
        <w:t xml:space="preserve">Efekt DN_W3: </w:t>
      </w:r>
    </w:p>
    <w:p>
      <w:pPr/>
      <w:r>
        <w:rPr/>
        <w:t xml:space="preserve">Zna obszary zastosowań neutronów wykorzystywanych w technice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Pozytywne wyniki kolokwium z materiału wykładowego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IM_W11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T1A_W05</w:t>
      </w:r>
    </w:p>
    <w:p>
      <w:pPr>
        <w:pStyle w:val="Heading3"/>
      </w:pPr>
      <w:bookmarkStart w:id="3" w:name="_Toc3"/>
      <w:r>
        <w:t>Profil ogólnoakademicki - umiejętności</w:t>
      </w:r>
      <w:bookmarkEnd w:id="3"/>
    </w:p>
    <w:p>
      <w:pPr>
        <w:keepNext w:val="1"/>
        <w:spacing w:after="10"/>
      </w:pPr>
      <w:r>
        <w:rPr>
          <w:b/>
          <w:bCs/>
        </w:rPr>
        <w:t xml:space="preserve">Efekt GD_U1: </w:t>
      </w:r>
    </w:p>
    <w:p>
      <w:pPr/>
      <w:r>
        <w:rPr/>
        <w:t xml:space="preserve">Potrafi wykorzystać dyfrakcje neutronów do badań struktury atomowej i magnetycznej materiałów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Pozytywne wyniki kolokwium z materiału wykładowego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IM_U09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T1A_U08, T1A_U09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0"/>
        <w:szCs w:val="20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2">
    <w:link w:val="Heading2Char"/>
    <w:name w:val="heading 2"/>
    <w:basedOn w:val="Normal"/>
    <w:pPr>
      <w:spacing w:before="40" w:after="190"/>
    </w:pPr>
    <w:rPr>
      <w:sz w:val="34"/>
      <w:szCs w:val="34"/>
      <w:b/>
      <w:bCs/>
    </w:rPr>
  </w:style>
  <w:style w:type="paragraph" w:styleId="Heading3">
    <w:link w:val="Heading3Char"/>
    <w:name w:val="heading 3"/>
    <w:basedOn w:val="Normal"/>
    <w:pPr>
      <w:spacing w:before="40" w:after="190"/>
    </w:pPr>
    <w:rPr>
      <w:sz w:val="26"/>
      <w:szCs w:val="26"/>
      <w:b/>
      <w:bCs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2025-05-09T06:21:57+02:00</dcterms:created>
  <dcterms:modified xsi:type="dcterms:W3CDTF">2025-05-09T06:21:57+02:00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