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Franciszek Dul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ZNZ336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I, Mechanika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ruchu kulistego i ogólnego, ruchu układów o zmiennej masie i zderzeń nieniszczących. Zapoznanie słuchaczy z zastosowaniami przekazanej wiedzy. Nabycie umiejętności rozwiązywania zadań z kinematyki i dynamiki ruchu kulistego.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 ruchu kulistego. Dynamika ruchu kulistego bryły sztywnej. Dynamika ruchu ogólnego bryły sztywnej Uproszczona teoria żyroskopu. Zjawiska żyroskopowe. Zastosowania. Ruch układów o zmiennej masie. Ruch rakiet. Zderzenia nieniszczące.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egzamin, test pisemny lub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Leyko, J. , Mechanika Ogólna t.1 i 2. PWN 2004.
2. Osiński, Z. , Mechanika Ogólna. PWN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stanowi dokończenie kursu mechaniki punktu materialnego i bryły sztywnej.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ma podstawową wiedzę na temat kinematyki i dynamiki ruchu kulistego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test pisemny lub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umie rozwiązywać zadania z kinematyki ruchu kulistego.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T2A_K03: </w:t>
      </w:r>
    </w:p>
    <w:p>
      <w:pPr/>
      <w:r>
        <w:rPr/>
        <w:t xml:space="preserve">Student który zaliczył przedmiot będzie umiał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własnej w trakcie zaliczania przedmiotu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2025-05-22T03:06:57+02:00</dcterms:created>
  <dcterms:modified xsi:type="dcterms:W3CDTF">2025-05-22T03:06:57+02:00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