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Gospodarowanie Wodą</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Efekty kształcenia –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w:t>
      </w:r>
    </w:p>
    <w:p>
      <w:pPr>
        <w:keepNext w:val="1"/>
        <w:spacing w:after="10"/>
      </w:pPr>
      <w:r>
        <w:rPr>
          <w:b/>
          <w:bCs/>
        </w:rPr>
        <w:t xml:space="preserve">Treści kształcenia: </w:t>
      </w:r>
    </w:p>
    <w:p>
      <w:pPr>
        <w:spacing w:before="20" w:after="190"/>
      </w:pPr>
      <w:r>
        <w:rPr/>
        <w:t xml:space="preserve">Historia i rozwój gospodarki wodnej na świecie i w Polsce. Definicja gospodarki wodnej. Cechy charakterystyczne współczesnej gospodarki wodnej. Przykładowe problemy gospodarki wodnej w Polsce i na świecie.
Cele i zadania systemowej gospodarki wodnej. Podstawowe pojęcia i definicje: zasoby wodne, zadania gospodarki wodnej, środki działania (narzędzia gospodarki wodnej), kryteria oceny podejmowanych działań. Schemat postępowania przy rozwiązywaniu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Podstawowe pojęcia ekonomiczne stosowane w gospodarce wodnej (stopa procentowa, stopa dyskontowa, rata kapitałowa). Porównywanie wariantów metodą bilansową i metoda zdyskontowanych efektów netto (NPV). Metody alokacji kosztów obiektów wielozadaniowych.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Zasoby wodne świata i Polski. Zasoby dyspozycyjne wód powierzchniowych i podziemnych oraz możliwości ich kształtowania
Ekonomiczne, społeczne i ekologiczne kryteria oceny jakości rozwiązań gospodarki wodnej.
Prawo wodne. Ramowa dyrektywa wodna. Struktura organizacyjna gospodarki wodnej w Polsce.
Krajowy i regionalne systemy informatyczne (kataster wodny) - regulacje prawne dotyczące gromadzenia i obiegu informacji
Wyznaczenie wielkości przepływu nienaruszalnego hydrobiologicznego metodą hydrauliczną i metodą uproszczoną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Ocena jakości wód powierzchniowych na podstawie wyników pomiarów monitoringu podstawowego i regionalnego
Porównywanie wariantów metodą bilansową i metoda zdyskontowanych efektów netto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Optymalizacja parametrów planu dyspozytorskiego zbiornika retencyjnego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Z = 0.5*W + 0.2*C + 0.3*P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2026-10-01T03:06:28+02:00</dcterms:created>
  <dcterms:modified xsi:type="dcterms:W3CDTF">2026-10-01T03:06:28+02:00</dcterms:modified>
</cp:coreProperties>
</file>

<file path=docProps/custom.xml><?xml version="1.0" encoding="utf-8"?>
<Properties xmlns="http://schemas.openxmlformats.org/officeDocument/2006/custom-properties" xmlns:vt="http://schemas.openxmlformats.org/officeDocument/2006/docPropsVTypes"/>
</file>