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Drogi i ulice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Tomasz Krukowicz, as., Wydział Transportu PW, Zakład Sterowania Ruchem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TR.SIP606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ćwiczeń audytoryjnych 15
Godziny ćwiczeń projektowych 15
Zapoznanie ze wskazaną literaturą 10
Konsultacje prac projektowych 3
Wykonanie części rysunkowej i obliczeniowej projektu poza godzinami zajęć 42
Prezentacja i obrona projektu 2
Razem 	87 godz.  ↔  3 pkt.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Godziny ćwiczeń audytoryjnych 15
Godziny ćwiczeń projektowych 15
Konsultacje prac projektowych 3
Prezentacja i obrona projektu 2
Razem 	35 godz.  ↔  1,5 pkt.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Godziny ćwiczeń projektowych 15
Konsultacje prac projektowych 3
Wykonanie części rysunkowej i obliczeniowej projektu poza godzinami zajęć 42
Prezentacja i obrona projektu 2
Razem 	62 godz.  ↔  2,5 pkt.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Drogowe układy komunikacyjne I, Ruch drogowy i miejski I, Drogi i ulice I, Sterowanie ruchem drogowym 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Praktyczne poznanie podstawowych zasad kształtowania geometrycznego dróg i skrzyżowań oraz zasad projektowania organizacji ruchu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audytoryjnych:
Wytyczne, normy, instrukcje i przepisy w zakresie drogownictwa oraz inżynierii ruchu. Obliczenie przepustowości drogi. Obliczenie przepustowości skrzyżowania.
Treść ćwiczeń projektowych:
Wykonanie projektu tyczenia drogi na mapie warstwicowej. Projekty przekroi poprzecznych. Wykonanie rysunków do dokumentacji projektowej oraz opisów technicznych projektu. Projekt geometrii odcinka ulicy wraz ze skrzyżowaniem. Wykonanie projektu organizacji ruchu.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Wykonanie i obrona 2 projektów.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Wytyczne projektowania dróg – GDDP, Warszawa, 1995 
2.	Wytyczne projektowania ulic – GDDP, Warszawa 1992 3. Wytyczne projektowania skrzyżowań drogowych – GDDP, Warszawa, 2001 
4.	Rozporządzenie Ministra Transportu i Gospodarki Morskiej z dnia 2 marca 1999 r. w sprawie warunków technicznych, jakim powinny odpowiadać drogi publiczne i ich usytuowanie. (Dz. U. 43 poz. 430 z 1999 r.) 
5.	Rozporządzenie Ministra Infrastruktury z dnia 3 lipca 2003 r. w sprawie szczegółowych warunków technicznych dla znaków i sygnałów drogowych oraz urządzeń bezpieczeństwa ruchu drogowego i warunków ich umieszczania na drogach (Dz. U. 220 poz. 2181 z 2003 r.) – z późn. zm. 
6.	Instrukcja obliczania przepustowości dróg zamiejskich – GDDP, Warszawa, 1992 
7.	Infrastruktura transportu samochodowego K. Towpik, A. Gołaszewski, J. Kukulski – OWPW, Warszawa, 2006 
8.	Metoda obliczania przepustowości skrzyżowań z sygnalizacją świetlną – GDDKiA, Warszawa, 2004
9. Rozporządzenie Ministra Transportu w sprawie warunków technicznych, jakim powinny odpowiadać skrzyżowania linii kolejowych z drogami publicznymi i ich usytuowanie (Dz. U. 33 poz. 144 z 1996 r.)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							Uzyskał szczegółową i aktualną wiedzę w zakresie projektowania oznakowania poziomego i pionowego dróg, ulic oraz skrzyżowań. Zdobył szczegółową wiedzę w zakresie stosowania i rozmieszczania sygnalizatorów świetlnych różnych typów. Uzyskał podstawową wiedzę w dziedzinie kartografii i topografii oraz budownictwa drogowego.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dwóch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Poznał komputerowe narzędzia wspomagające projektowanie w zakresie drogownictwa oraz inżynierii ruchu. Zdobył wiedzę pozwalającą na ocenę przepustowości układów drogowych oraz ocenę warunków ruchu.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dwóch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pozyskiwać właściwe dane do projektowania z norm, wytycznych, instrukcji oraz przepisów prawa, potrafi dokonać ich krytycznej oceny oraz interpretacji oraz wykorzystywać je podczas projektowania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dwóch projektów - sprawdzenie  poprawności danych wykorzystanych do projektowania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Posiada umiejętność samodzielnego przygotowania prostych rysunków z zakresu projektowania drogowego oraz projektowania w zakresie inżynierii ruchu jak również skomplikowanych rysunków według przekazanych wytycznych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części rysunkowej dwóch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T1A_U16, InzA_U08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Posiada umiejętnośc oceny przepustowości skrzyżowań oraz dróg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części obliczeniowej dwóch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InzA_U05</w:t>
      </w:r>
    </w:p>
    <w:p>
      <w:pPr>
        <w:keepNext w:val="1"/>
        <w:spacing w:after="10"/>
      </w:pPr>
      <w:r>
        <w:rPr>
          <w:b/>
          <w:bCs/>
        </w:rPr>
        <w:t xml:space="preserve">Efekt U04: </w:t>
      </w:r>
    </w:p>
    <w:p>
      <w:pPr/>
      <w:r>
        <w:rPr/>
        <w:t xml:space="preserve">Potrafi sprawnie posługiwać się narzędziami komputerowymi wspomagającymi projektowanie w zakresie drogownictwa oraz inżynierii ruchu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części rysunkowej dwóch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„sprzeczność celów” inżynierii ruchu, potrafi okreslić priorytety podczas projektowania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dwóch projektów, ustna obrona projektów.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2026-07-30T00:02:06+02:00</dcterms:created>
  <dcterms:modified xsi:type="dcterms:W3CDTF">2026-07-30T00:02:06+02:00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