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TR.SIP524</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30 godz., zapoznanie się ze wskazana literaturą 8 godz., przygotowanie do egzaminu 6 godz., udział w egzaminie 2 godz., konsultacje z wykładowcą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(36 godz., w tym: godziny wykładu 30 godz., udział w egzaminie 2 godz., konsultacje z wykładowcą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 InzA_U05</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Tr1A_U14, Tr1A_U24</w:t>
      </w:r>
    </w:p>
    <w:p>
      <w:pPr>
        <w:spacing w:before="20" w:after="190"/>
      </w:pPr>
      <w:r>
        <w:rPr>
          <w:b/>
          <w:bCs/>
        </w:rPr>
        <w:t xml:space="preserve">Powiązane efekty obszarowe: </w:t>
      </w:r>
      <w:r>
        <w:rPr/>
        <w:t xml:space="preserve">T1A_U10, InzA_U03,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2026-10-01T12:41:36+02:00</dcterms:created>
  <dcterms:modified xsi:type="dcterms:W3CDTF">2026-10-01T12:41:36+02:00</dcterms:modified>
</cp:coreProperties>
</file>

<file path=docProps/custom.xml><?xml version="1.0" encoding="utf-8"?>
<Properties xmlns="http://schemas.openxmlformats.org/officeDocument/2006/custom-properties" xmlns:vt="http://schemas.openxmlformats.org/officeDocument/2006/docPropsVTypes"/>
</file>