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Zależnie od wybranego przedmiotu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TR.SIS631</w:t>
      </w:r>
    </w:p>
    <w:p>
      <w:pPr>
        <w:keepNext w:val="1"/>
        <w:spacing w:after="10"/>
      </w:pPr>
      <w:r>
        <w:rPr>
          <w:b/>
          <w:bCs/>
        </w:rPr>
        <w:t xml:space="preserve">Semestr nominalny: </w:t>
      </w:r>
    </w:p>
    <w:p>
      <w:pPr>
        <w:spacing w:before="20" w:after="190"/>
      </w:pPr>
      <w:r>
        <w:rPr/>
        <w:t xml:space="preserve">6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Około 60 godzin, w tym: praca na zajęciach 30 godz., studiowanie literatury przedmiotu około 15 godz., konsultacje 3 godz., udział w egzaminach 2 godz., przygotowanie się do egzaminu około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godzin, w tym: praca na zajęciach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2026-10-02T20:44:28+02:00</dcterms:created>
  <dcterms:modified xsi:type="dcterms:W3CDTF">2026-10-02T20:44:28+02:00</dcterms:modified>
</cp:coreProperties>
</file>

<file path=docProps/custom.xml><?xml version="1.0" encoding="utf-8"?>
<Properties xmlns="http://schemas.openxmlformats.org/officeDocument/2006/custom-properties" xmlns:vt="http://schemas.openxmlformats.org/officeDocument/2006/docPropsVTypes"/>
</file>