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Energetycznymi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wykładach.
2) Praca własna studenta - 20 godz., w tym:
a) przygotowanie się do kolokwiów - 10 godz.,
b) przygotowywanie się do egzaminu - 10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 godz.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z: teorii maszyn cieplnych, teorii maszyn przepływowych, podstaw automatyki i sterowania, budowy urządzeń energetycznych (kotły, pompy, turbiny).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układami regulacji urządzeń wchodzących w skład elektrowni oraz sposobami sterowania blokiem energetycznym. Przedstawienie zasad określania własności urządzeń dla celów projektowania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matematyczne elementów siłowni dla celów projektowania układów sterowania. Modele nieliniowe i liniowe, przekształcenie Laplace'a. Charakterystyki statyczne i dynamiczne. Podstawowe elementy układów regulacji. Regulacja kotłów, turbin i pomp. Sterowanie turbozespołu. Zastosowanie EMC w procesach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semestru, egzamin końcowy w przypadku negatywnych lub niezadowalających ocen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*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ML.NS726_U1: </w:t>
      </w:r>
    </w:p>
    <w:p>
      <w:pPr/>
      <w:r>
        <w:rPr/>
        <w:t xml:space="preserve">Student umie analizować prace układu regulacji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E1_U10, E1_U11,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2026-10-21T13:11:00+02:00</dcterms:created>
  <dcterms:modified xsi:type="dcterms:W3CDTF">2026-10-21T13:11:00+02:00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