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ML.NS720_W2: </w:t>
      </w:r>
    </w:p>
    <w:p>
      <w:pPr/>
      <w:r>
        <w:rPr/>
        <w:t xml:space="preserve">Zna prawa podobieństwa i wyróżniki stosowane w pompach. Zna podstawowe elementy jednowymiarowej teorii pomp wirowych. Zna zasady regulacji pomp wirowych. Zna zjawiska naporu osiowego i promieniowego oraz sposoby równoważenia go. Zna mechanizm kawitacji i sposoby zapobiegania jej w pompach.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2026-05-02T20:39:45+02:00</dcterms:created>
  <dcterms:modified xsi:type="dcterms:W3CDTF">2026-05-02T20:39:45+02:00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