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praktycznymi aspektami stosowania technologii wytwarzania dla maszyn i urządzeń energetycznych, z podstawami wytwarzania kluczowych elementów konstrukcyjnych, specjalistycznymi technologiami wytwarzania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ML.NS736_W1: </w:t>
      </w:r>
    </w:p>
    <w:p>
      <w:pPr/>
      <w:r>
        <w:rPr/>
        <w:t xml:space="preserve">Student posiada wiedzę o podstawowych metodach wytwarzania elementów i części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ML.NS736_U1: </w:t>
      </w:r>
    </w:p>
    <w:p>
      <w:pPr/>
      <w:r>
        <w:rPr/>
        <w:t xml:space="preserve">Student umie przygotować plan wytwarzania danej części podstawowych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2026-10-22T02:01:36+02:00</dcterms:created>
  <dcterms:modified xsi:type="dcterms:W3CDTF">2026-10-22T02:01:36+02:00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