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375 godzin, w tym:
1. Liczba godzin wymagających bezpośredniego kontaktu z opiekunem: 150, w tym:
a) spotkania i konsultacje - 149 godz.,
b) zaliczenie przedmiotu - 1 godz. 
2. Liczba godzin pracy własnej: 225.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- 150 godz. w tym:
a) spotkania i konsultacje - 149 godz.,
b) zaliczenie przedmiotu - 1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rozwiązania postawionego zadania inżynierskiego, - doboru literatury, - wyboru metod rozwiązania,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konkretnego tematu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E1_W18, E1_W20, E1_W24, E1_W25, E1_W26, E1_W28,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T1A_W07, T1A_W04, T1A_W05, T1A_W05, T1A_W05, T1A_W04,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ML.NW136_U1: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T1A_U06</w:t>
      </w:r>
    </w:p>
    <w:p>
      <w:pPr>
        <w:keepNext w:val="1"/>
        <w:spacing w:after="10"/>
      </w:pPr>
      <w:r>
        <w:rPr>
          <w:b/>
          <w:bCs/>
        </w:rPr>
        <w:t xml:space="preserve">Efekt ML.NW136_U2: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T1A_U11</w:t>
      </w:r>
    </w:p>
    <w:p>
      <w:pPr>
        <w:keepNext w:val="1"/>
        <w:spacing w:after="10"/>
      </w:pPr>
      <w:r>
        <w:rPr>
          <w:b/>
          <w:bCs/>
        </w:rPr>
        <w:t xml:space="preserve">Efekt ML.NW136_U4: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E1_U03, E1_U04, E1_U08,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T1A_U07,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ML.NW136_K1: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ML.NW136_K2: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ML.NW136_K3: </w:t>
      </w:r>
    </w:p>
    <w:p>
      <w:pPr/>
      <w:r>
        <w:rPr/>
        <w:t xml:space="preserve">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ML.NW136_K4: </w:t>
      </w:r>
    </w:p>
    <w:p>
      <w:pPr/>
      <w:r>
        <w:rPr/>
        <w:t xml:space="preserve">Rozumie potrzebę przekazywania społeczeństwu – m.in. poprzez środki masowego przekazu – informacji o osiągnięciach techniki i innych aspektach działalności inżyniera i potrafi przekazać takie informacje w sposób powszechnie zrozumiały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2026-10-21T16:19:41+02:00</dcterms:created>
  <dcterms:modified xsi:type="dcterms:W3CDTF">2026-10-21T16:19:41+02:00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