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Gospodarka wodna, Gospodarka wodna i ściekowa w zakładach przemysłowych, Sieci i instalacje sanitarne, Gospodarka odpadami, Ochrona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w:t>
      </w:r>
    </w:p>
    <w:p>
      <w:pPr>
        <w:keepNext w:val="1"/>
        <w:spacing w:after="10"/>
      </w:pPr>
      <w:r>
        <w:rPr>
          <w:b/>
          <w:bCs/>
        </w:rPr>
        <w:t xml:space="preserve">Metody oceny: </w:t>
      </w:r>
    </w:p>
    <w:p>
      <w:pPr>
        <w:spacing w:before="20" w:after="190"/>
      </w:pPr>
      <w:r>
        <w:rPr/>
        <w:t xml:space="preserve">Średnia ważona: 40 % oceny z wykładu i 60 % oceny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2026-02-04T21:40:04+01:00</dcterms:created>
  <dcterms:modified xsi:type="dcterms:W3CDTF">2026-02-04T21:40:04+01:00</dcterms:modified>
</cp:coreProperties>
</file>

<file path=docProps/custom.xml><?xml version="1.0" encoding="utf-8"?>
<Properties xmlns="http://schemas.openxmlformats.org/officeDocument/2006/custom-properties" xmlns:vt="http://schemas.openxmlformats.org/officeDocument/2006/docPropsVTypes"/>
</file>