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Bioinzynieria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Gospodarka wodna, Gospodarka wodna i ściekowa w zakładach przemysłowych, Sieci i instalacje sanitarne, Gospodarka odpadami, Ochrona atmosfery.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w:t>
      </w:r>
    </w:p>
    <w:p>
      <w:pPr>
        <w:keepNext w:val="1"/>
        <w:spacing w:after="10"/>
      </w:pPr>
      <w:r>
        <w:rPr>
          <w:b/>
          <w:bCs/>
        </w:rPr>
        <w:t xml:space="preserve">Metody oceny: </w:t>
      </w:r>
    </w:p>
    <w:p>
      <w:pPr>
        <w:spacing w:before="20" w:after="190"/>
      </w:pPr>
      <w:r>
        <w:rPr/>
        <w:t xml:space="preserve">Średnia ważona: 40 % oceny z wykładu i 60 % oceny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2026-10-01T20:48:17+02:00</dcterms:created>
  <dcterms:modified xsi:type="dcterms:W3CDTF">2026-10-01T20:48:17+02:00</dcterms:modified>
</cp:coreProperties>
</file>

<file path=docProps/custom.xml><?xml version="1.0" encoding="utf-8"?>
<Properties xmlns="http://schemas.openxmlformats.org/officeDocument/2006/custom-properties" xmlns:vt="http://schemas.openxmlformats.org/officeDocument/2006/docPropsVTypes"/>
</file>