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wykładach 30 godz. Praca własna:
przygotowanie do zajęć 40 godz. czytanie
wskazanej literatury 15 godz. Sumaryczne
obciążenie pracą studenta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
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podstawową terminologię w ZZL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wybrane, podstawowe, teorie i koncepcje w zakresie ZZL i potrafi je zastosować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wybrane, podstawowe, teorie i koncepcje w zakresie ZZL i potrafi je zastosować w praktyce.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zdiagnozować potrzeby personalne w organizacji w oparciu o analizę: strategii i kultury organizacyjnej oraz zdefiniować zakres zadań pracowniczych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S2A_U06,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diagnozowania kluczowych kompetencji pracowników na danych stanowiskach.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K-01: </w:t>
      </w:r>
    </w:p>
    <w:p>
      <w:pPr/>
      <w:r>
        <w:rPr/>
        <w:t xml:space="preserve">Ma świadomość poziomu swojej wiedzy i umiejętności z zakresu ZZL. Rozumie konieczność dalszego 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pełnienia ważnej roli w społeczeństwie, projektuje i wykonuje zadania w zakresie pracy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2026-10-03T17:24:10+02:00</dcterms:created>
  <dcterms:modified xsi:type="dcterms:W3CDTF">2026-10-03T17:24:10+02:00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