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LexisNexis, Warszawa 2012
2. Agnieszka Kastelik-Smaza: Pytania prejudycjalne do Trybunału Sprawiedliwości Unii Europejskiej a prawa jednostki, Oficyna a Wolters Kluwer business, Warszawa 2010 
3.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W_02: </w:t>
      </w:r>
    </w:p>
    <w:p>
      <w:pPr/>
      <w:r>
        <w:rPr/>
        <w:t xml:space="preserve">Ma wiedzę w zakresie struktury i kompetencji unijnych organów sądowych.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W_05: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2026-09-10T19:00:26+02:00</dcterms:created>
  <dcterms:modified xsi:type="dcterms:W3CDTF">2026-09-10T19:00:26+02:00</dcterms:modified>
</cp:coreProperties>
</file>

<file path=docProps/custom.xml><?xml version="1.0" encoding="utf-8"?>
<Properties xmlns="http://schemas.openxmlformats.org/officeDocument/2006/custom-properties" xmlns:vt="http://schemas.openxmlformats.org/officeDocument/2006/docPropsVTypes"/>
</file>