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NS613</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14 h, samodzielna lektura i przygotowanie sie do kolokwium 15 h, kolokwium 1 h; razem 30h = 1ECTS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14 h, kolokwium 1 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0h=0ECTS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techniczne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
</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Konwencja o międzynarodowym lotnictwie cywilnym, sporządzona w Chicago 7 grudnia 1944 r.
Aneks 6 (ICAO): Eksploatacja statków powietrznych
Aneks 8 (ICAO) : Zdatność do lotu statków powietrznych
ROZPORZĄDZENIE KOMISJI (WE) NR 216/2008
ROZPORZĄDZENIE KOMISJI (WE) NR 2042/2003 
ROZPORZĄDZENIE KOMISJI (WE) NR 1702/2003
USTAWA z dnia 3 lipca 2002 r. Prawo lotnicze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keepNext w:val="1"/>
        <w:spacing w:after="10"/>
      </w:pPr>
      <w:r>
        <w:rPr>
          <w:b/>
          <w:bCs/>
        </w:rPr>
        <w:t xml:space="preserve">Efekt 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keepNext w:val="1"/>
        <w:spacing w:after="10"/>
      </w:pPr>
      <w:r>
        <w:rPr>
          <w:b/>
          <w:bCs/>
        </w:rPr>
        <w:t xml:space="preserve">Efekt 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LiK1_W18, LiK1_W20</w:t>
      </w:r>
    </w:p>
    <w:p>
      <w:pPr>
        <w:spacing w:before="20" w:after="190"/>
      </w:pPr>
      <w:r>
        <w:rPr>
          <w:b/>
          <w:bCs/>
        </w:rPr>
        <w:t xml:space="preserve">Powiązane efekty obszarowe: </w:t>
      </w:r>
      <w:r>
        <w:rPr/>
        <w:t xml:space="preserve">T1A_W06, T1A_W08</w:t>
      </w:r>
    </w:p>
    <w:p>
      <w:pPr>
        <w:keepNext w:val="1"/>
        <w:spacing w:after="10"/>
      </w:pPr>
      <w:r>
        <w:rPr>
          <w:b/>
          <w:bCs/>
        </w:rPr>
        <w:t xml:space="preserve">Efekt 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2026-10-21T15:03:43+02:00</dcterms:created>
  <dcterms:modified xsi:type="dcterms:W3CDTF">2026-10-21T15:03:43+02:00</dcterms:modified>
</cp:coreProperties>
</file>

<file path=docProps/custom.xml><?xml version="1.0" encoding="utf-8"?>
<Properties xmlns="http://schemas.openxmlformats.org/officeDocument/2006/custom-properties" xmlns:vt="http://schemas.openxmlformats.org/officeDocument/2006/docPropsVTypes"/>
</file>