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laboratoryjnych 30
przygotowanie do zajęć laboratoryjnych 15
zapoznanie się ze wskazana literaturą 10
wykonanie sprawozdań z ćwiczeń laboratoryjnych 10
przygotowanie się do zaliczenia 5
razem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NK400_U9: </w:t>
      </w:r>
    </w:p>
    <w:p>
      <w:pPr/>
      <w:r>
        <w:rPr/>
        <w:t xml:space="preserve">														Potrafi praktycznie stosować metody badania struktury geometrycznej powierzchni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2026-10-21T15:57:05+02:00</dcterms:created>
  <dcterms:modified xsi:type="dcterms:W3CDTF">2026-10-21T15:57:05+02:00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