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Samoloty, śmigłowce, rakiety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15h; udział w zajęciach projektowych 15h; przygotowanie projektów i prezentacji 45h,
w konsultacje 5 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Praca własna: przygotowanie projektów, w tym prezentacji przedstawianej następnie przed całą grupą studentów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Przewodnik po projektach dostępny na stronie internetowej: http://www.meil.pw.edu.pl/ZSiS/Dydaktyka/Prowadzone-przedmioty/SSR • J.D. Andreson, Jr.– Introduction to Flight, McGraw-Hill , 2004 • H.C. „Skip” Smith, The Illustrated Guide to Aerodynamics, TAB Books, McGraw-Hill, Inc., 1992 • Wybrane wykłady w wersji elektronicznej Dodatkowe literatura: • D.P. Raymer, Aircraft Design, a Conceptual Approach, AIAA Education Series • Siegmund Brandt, Analiza danych - metody statystyczne i obliczeniowe, Wydawnictwo Naukowe PWN, Warszawa 1998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http://www.meil.pw.edu.pl/zsis/ZSiS/Dydaktyka/Prowadzone-przedmioty/SSR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NK466_W1: </w:t>
      </w:r>
    </w:p>
    <w:p>
      <w:pPr/>
      <w:r>
        <w:rPr/>
        <w:t xml:space="preserve">							student zna podstawy techniki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NK466_W2: </w:t>
      </w:r>
    </w:p>
    <w:p>
      <w:pPr/>
      <w:r>
        <w:rPr/>
        <w:t xml:space="preserve">							student zna międzynarodowe umiejscowienie lotnictwa oraz podstawowe akty 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NK466_W3: </w:t>
      </w:r>
    </w:p>
    <w:p>
      <w:pPr/>
      <w:r>
        <w:rPr/>
        <w:t xml:space="preserve">							student wie jak przeprowadzić analizę trendów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NK466_U1: </w:t>
      </w:r>
    </w:p>
    <w:p>
      <w:pPr/>
      <w:r>
        <w:rPr/>
        <w:t xml:space="preserve">							student potrafi przeprowadzić analizę trendów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NK466_K1: </w:t>
      </w:r>
    </w:p>
    <w:p>
      <w:pPr/>
      <w:r>
        <w:rPr/>
        <w:t xml:space="preserve">							student potrafi parcować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NK466_K2: </w:t>
      </w:r>
    </w:p>
    <w:p>
      <w:pPr/>
      <w:r>
        <w:rPr/>
        <w:t xml:space="preserve">							student potrafi przekazywać wiedzę/informację szerszemu gronu słuchaczy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prentacja przed całą grupą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2026-10-02T22:46:34+02:00</dcterms:created>
  <dcterms:modified xsi:type="dcterms:W3CDTF">2026-10-02T22:46:34+02:00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