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30
- zapoznanie się ze wskazana literaturą 15
- konsultacje 2
- przygotowanie się do zaliczenia 15
Razem 62
</w:t>
      </w:r>
    </w:p>
    <w:p>
      <w:pPr>
        <w:keepNext w:val="1"/>
        <w:spacing w:after="10"/>
      </w:pPr>
      <w:r>
        <w:rPr>
          <w:b/>
          <w:bCs/>
        </w:rPr>
        <w:t xml:space="preserve">Liczba punktów ECTS na zajęciach wymagających bezpośredniego udziału nauczycieli akademickich: </w:t>
      </w:r>
    </w:p>
    <w:p>
      <w:pPr>
        <w:spacing w:before="20" w:after="190"/>
      </w:pPr>
      <w:r>
        <w:rPr/>
        <w:t xml:space="preserve">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2026-10-01T09:02:41+02:00</dcterms:created>
  <dcterms:modified xsi:type="dcterms:W3CDTF">2026-10-01T09:02:41+02:00</dcterms:modified>
</cp:coreProperties>
</file>

<file path=docProps/custom.xml><?xml version="1.0" encoding="utf-8"?>
<Properties xmlns="http://schemas.openxmlformats.org/officeDocument/2006/custom-properties" xmlns:vt="http://schemas.openxmlformats.org/officeDocument/2006/docPropsVTypes"/>
</file>