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
b)	ćwiczenia – 15 godz.
c)	konsultacje – 2 godz.
2.	Praca własna studenta – 40 godzin, w tym: 
a)	 przygotowywanie się studenta do kolokwiów 20 godzin,
b)	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
b)	ćwiczenia – 15 godz.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Kokokwia,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NW108_W02: </w:t>
      </w:r>
    </w:p>
    <w:p>
      <w:pPr/>
      <w:r>
        <w:rPr/>
        <w:t xml:space="preserve">																								Student wie jak wykorzystać rachunek wektorowy w zagadnieniach ze statyki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NW108_U02: </w:t>
      </w:r>
    </w:p>
    <w:p>
      <w:pPr/>
      <w:r>
        <w:rPr/>
        <w:t xml:space="preserve">																		Student potrafi wykorzystać rachunek wektorowy w statyce niutonowskiej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NW108_U03: </w:t>
      </w:r>
    </w:p>
    <w:p>
      <w:pPr/>
      <w:r>
        <w:rPr/>
        <w:t xml:space="preserve">																	Student umie określić zakres stosowalności metod statyki niutonowskiej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NW108_K01: </w:t>
      </w:r>
    </w:p>
    <w:p>
      <w:pPr/>
      <w:r>
        <w:rPr/>
        <w:t xml:space="preserve">							Student umie komunikować się w zakresie dotyczącym statyki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2026-10-02T00:19:05+02:00</dcterms:created>
  <dcterms:modified xsi:type="dcterms:W3CDTF">2026-10-02T00:19:05+02:00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