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inż. Kamila Kustroń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NW107</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 60 h:
wykład 30 h
przygotowanie do kolokwium ok. 16 godz.
przygotowanie opracowania własnego 12 h
konsultacje 2 h
</w:t>
      </w:r>
    </w:p>
    <w:p>
      <w:pPr>
        <w:keepNext w:val="1"/>
        <w:spacing w:after="10"/>
      </w:pPr>
      <w:r>
        <w:rPr>
          <w:b/>
          <w:bCs/>
        </w:rPr>
        <w:t xml:space="preserve">Liczba punktów ECTS na zajęciach wymagających bezpośredniego udziału nauczycieli akademickich: </w:t>
      </w:r>
    </w:p>
    <w:p>
      <w:pPr>
        <w:spacing w:before="20" w:after="190"/>
      </w:pPr>
      <w:r>
        <w:rPr/>
        <w:t xml:space="preserve">1.25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dobory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Ashby Michael F., Jones David R.H.: Materiały inżynierskie. Tom1. WNT. Warszawa, 2004. Dobrzański L.A.: Materiały inżynierskie i projektowanie materiałowe. WNT. Warszawa, 2006. Dobrzański L.A.: Podstawy nauki o materiałach i metaloznawstwo. Materiały inżynierskie z podstawami projektowania materiałowego. WNT. Warszawa, 2004. Dodatkowe literatura: Gruin I.: Materiały polimerowe. Wydawnictwo naukowe PWN. Warszawa,2003. Przybyłowicz K., Przybyłowicz J.: Materiałoznawstwo w pytaniach i odpowiedziach. WNT. Warszawa, 2007. Blicharski M. Wstęp do inżynierii materiałowej. WNT. Warszawa, 2006. Jurkowska B., Jurkowski B.: Praktyczne materiałoznawstwo. Pytania kontrolne z komentarzem. Wyd. Wyższa Szkoła Komunikacji. 2003.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NW107_W1: </w:t>
      </w:r>
    </w:p>
    <w:p>
      <w:pPr/>
      <w:r>
        <w:rPr/>
        <w:t xml:space="preserve">							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keepNext w:val="1"/>
        <w:spacing w:after="10"/>
      </w:pPr>
      <w:r>
        <w:rPr>
          <w:b/>
          <w:bCs/>
        </w:rPr>
        <w:t xml:space="preserve">Efekt NW107_W2: </w:t>
      </w:r>
    </w:p>
    <w:p>
      <w:pPr/>
      <w:r>
        <w:rPr/>
        <w:t xml:space="preserve">							zna zależności pomiędzy budową materiałów a ich właściwościami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keepNext w:val="1"/>
        <w:spacing w:after="10"/>
      </w:pPr>
      <w:r>
        <w:rPr>
          <w:b/>
          <w:bCs/>
        </w:rPr>
        <w:t xml:space="preserve">Efekt NW107_W3: </w:t>
      </w:r>
    </w:p>
    <w:p>
      <w:pPr/>
      <w:r>
        <w:rPr/>
        <w:t xml:space="preserve">							zna charakterystyczne właściwości poszczególnych grup materiałów i możliwości ich modyfikacji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LiK1_W02, LiK1_W04</w:t>
      </w:r>
    </w:p>
    <w:p>
      <w:pPr>
        <w:spacing w:before="20" w:after="190"/>
      </w:pPr>
      <w:r>
        <w:rPr>
          <w:b/>
          <w:bCs/>
        </w:rPr>
        <w:t xml:space="preserve">Powiązane efekty obszarowe: </w:t>
      </w:r>
      <w:r>
        <w:rPr/>
        <w:t xml:space="preserve">T1A_W01, T1A_W07, T1A_W01, T1A_W06, T1A_W07</w:t>
      </w:r>
    </w:p>
    <w:p>
      <w:pPr>
        <w:pStyle w:val="Heading3"/>
      </w:pPr>
      <w:bookmarkStart w:id="3" w:name="_Toc3"/>
      <w:r>
        <w:t>Profil ogólnoakademicki - umiejętności</w:t>
      </w:r>
      <w:bookmarkEnd w:id="3"/>
    </w:p>
    <w:p>
      <w:pPr>
        <w:keepNext w:val="1"/>
        <w:spacing w:after="10"/>
      </w:pPr>
      <w:r>
        <w:rPr>
          <w:b/>
          <w:bCs/>
        </w:rPr>
        <w:t xml:space="preserve">Efekt NW107_U1: </w:t>
      </w:r>
    </w:p>
    <w:p>
      <w:pPr/>
      <w:r>
        <w:rPr/>
        <w:t xml:space="preserve">							umie na podstawie zdobytej wiedzy i żrodeł literaturowych sformułować wymagania co do materiału dla danej aplikacji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LiK1_U01, LiK1_U17, LiK1_U19</w:t>
      </w:r>
    </w:p>
    <w:p>
      <w:pPr>
        <w:spacing w:before="20" w:after="190"/>
      </w:pPr>
      <w:r>
        <w:rPr>
          <w:b/>
          <w:bCs/>
        </w:rPr>
        <w:t xml:space="preserve">Powiązane efekty obszarowe: </w:t>
      </w:r>
      <w:r>
        <w:rPr/>
        <w:t xml:space="preserve">T1A_U01, T1A_U13, T1A_U14</w:t>
      </w:r>
    </w:p>
    <w:p>
      <w:pPr>
        <w:keepNext w:val="1"/>
        <w:spacing w:after="10"/>
      </w:pPr>
      <w:r>
        <w:rPr>
          <w:b/>
          <w:bCs/>
        </w:rPr>
        <w:t xml:space="preserve">Efekt NW107_U2: </w:t>
      </w:r>
    </w:p>
    <w:p>
      <w:pPr/>
      <w:r>
        <w:rPr/>
        <w:t xml:space="preserve">							umie korzystać z baz materiałowych i metodyki doboru materiału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LiK1_U01, LiK1_U19</w:t>
      </w:r>
    </w:p>
    <w:p>
      <w:pPr>
        <w:spacing w:before="20" w:after="190"/>
      </w:pPr>
      <w:r>
        <w:rPr>
          <w:b/>
          <w:bCs/>
        </w:rPr>
        <w:t xml:space="preserve">Powiązane efekty obszarowe: </w:t>
      </w:r>
      <w:r>
        <w:rPr/>
        <w:t xml:space="preserve">T1A_U01, T1A_U14</w:t>
      </w:r>
    </w:p>
    <w:p>
      <w:pPr>
        <w:keepNext w:val="1"/>
        <w:spacing w:after="10"/>
      </w:pPr>
      <w:r>
        <w:rPr>
          <w:b/>
          <w:bCs/>
        </w:rPr>
        <w:t xml:space="preserve">Efekt NW107_U3: </w:t>
      </w:r>
    </w:p>
    <w:p>
      <w:pPr/>
      <w:r>
        <w:rPr/>
        <w:t xml:space="preserve">							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efekty kierunkowe: </w:t>
      </w:r>
      <w:r>
        <w:rPr/>
        <w:t xml:space="preserve">LiK1_U19</w:t>
      </w:r>
    </w:p>
    <w:p>
      <w:pPr>
        <w:spacing w:before="20" w:after="190"/>
      </w:pPr>
      <w:r>
        <w:rPr>
          <w:b/>
          <w:bCs/>
        </w:rPr>
        <w:t xml:space="preserve">Powiązane efekty obszarowe: </w:t>
      </w:r>
      <w:r>
        <w:rPr/>
        <w:t xml:space="preserve">T1A_U14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2025-07-08T08:08:48+02:00</dcterms:created>
  <dcterms:modified xsi:type="dcterms:W3CDTF">2025-07-08T08:08:48+02:00</dcterms:modified>
</cp:coreProperties>
</file>

<file path=docProps/custom.xml><?xml version="1.0" encoding="utf-8"?>
<Properties xmlns="http://schemas.openxmlformats.org/officeDocument/2006/custom-properties" xmlns:vt="http://schemas.openxmlformats.org/officeDocument/2006/docPropsVTypes"/>
</file>