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30, w tym:
a)	wykład – 15godz.;
b)	laboratorium – 15godz.; 
2)	Praca własna studenta 30, w tym:
a)	przygotowanie do kolokwium  zaliczeniowego – 5godz.;
Suma: 35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1 punkt ECTS - liczba godzin bezpośrednich: 30, w tym: 
a)	wykład – 15godz.;
b)	laboratorium – 15godz.;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	0,5 punkt ECTS – 15 godz., w tym:
a)	laboratorium – 15godz;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Przykłady zastosowań w maszynach przetwórczych, mobilnych, przyrządach medycznych i technice wojskowej. Stosowane for-my opisu właściwości statycznych i dynamicznych. Struktury układów sterowania dławieniowego i objętościowego. Źródła zasilania. Właściwości cieczy roboczych. Typowe zadania układów z elementami hydrotroniki. Budowa, działanie i właściwości ważniejszych zespołów funkcjonalnych hydrotroniki. Złącza elektrohydrauliczne i hydroelektryczne. Zespoły techniki serwomechanizmowej i proporcjonalnej. Sterowanie cyfrowe aktuatorami hydrotronicznymi. Struktury, modelowanie, symulacja układów przełączających i serwome-chanizmowych. Zasady eksploatacji hydrotroniki.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	AHD_1ST_W01: </w:t>
      </w:r>
    </w:p>
    <w:p>
      <w:pPr/>
      <w:r>
        <w:rPr/>
        <w:t xml:space="preserve">Posiada uporządkowaną wiedzę w zakresie działania i budowy aktuatorów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AHD_1ST_W02: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AHD_1ST_U01: </w:t>
      </w:r>
    </w:p>
    <w:p>
      <w:pPr/>
      <w:r>
        <w:rPr/>
        <w:t xml:space="preserve">Potrafi zaprojektować, przygotować dokumentację i schematy  aktuatorów hydrotronicznych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AHD_1ST_U02: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AHD_1ST_K01: </w:t>
      </w:r>
    </w:p>
    <w:p>
      <w:pPr/>
      <w:r>
        <w:rPr/>
        <w:t xml:space="preserve">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2026-09-12T18:02:32+02:00</dcterms:created>
  <dcterms:modified xsi:type="dcterms:W3CDTF">2026-09-12T18:02:32+02:00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