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 godz., w tym:
•	laboratorium – 30 godz.
•	konsultacje – 5  godz.
2) Praca własna studenta - 40 godz., w tym:
•	przygotowanie do zajęć laboratoryjnych - 15 godz.;
•	zapoznanie z literaturą - 10 godz.;
•	opracowanie sprawozdań z laboratoriów – 15 godz.;
Razem: 75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– 35 godz., w tym:
•	laboratorium – 30 godz.
•	konsultacje – 5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– 60 godz., w tym: 
•	wykonanie ćwiczeń laboratoryjnych - 30 godz.
•	przygotowanie do zajęć laboratoryjnych - 15 godz.
•	opracowanie sprawozdań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układów regulacji, Identyfikacja własności obiektów regulacji. Badanie algorytmów regulacji PID. Badanie jednoobwodowego układu regulacji. Wykorzystanie sterownika PLC do sterowania w układach regulacji ciągłej i dyskretnej, Systemy monitorowania procesów. Badanie serwomechanizmu hydraulicznego. Układy kombinacyjne. Pneumatyczne układy napędowo-sterujące. Elektropneumatyczne układy napędowo-sterujące.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laboratoriów, ocena wystawiona na podstawie obecności, kolokwiów sprawdzających, oraz zrealizowanych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Automatyki. 
2.  Żelazny M.: Podstawy Automatyki. WNT, Warszawa 1976 .
3. Kościelny W.: Materiały pomocnicze do nauczania podstaw automatyki. Oficyna Wydawnicza PW, Warszawa 2001, wyd. III. 
4. Holejko D., Kościelny W., Niewczas W.: Zbiór zadań z podstaw automatyki. Wydawnictwa Politechniki Warszawskiej, 1985, wyd. VIII. 
5. Gessing R.: Podstawy automatyki. Wydawnictwo Politechniki Śląskiej, 2001. 
6. Mazurek J., Vogt H., Zydanowicz W.: Podstawy automatyki. Oficyna Wydawnicza PW, Warszawa 2002. 
7. Pułaczewski J, Szacka K. Manitius A.: Zasady automatyki. WNT, Warszwa, 1974. 
8. Węgrzyn S.: Podstawy automatyki. PWN, Warszawa, 1980. 
9. Kościelny W.: Podstawy automatyki, część II. Wydawnictwa Politechniki Warszawskiej, 1984. 
10. Zieliński C.: Podstawy projektowania układów cyfrowych. PWN, Warszawa, 2003. 
11. Traczyk W.: Układy cyfrowe automatyki. WNT, Warszawa 1974.
 12. Misiurewicz P.: Podstawy techniki cyfrowej. WNT, Warszawa 1982
13. Holejko D., Kościelny W.: Automatyka procesów ciągłych, Oficyna Wyd. PW, Warszawa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http://www.jakubmozaryn.esy.es/?page_id=95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PA2_W01: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PA2_W02: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keepNext w:val="1"/>
        <w:spacing w:after="10"/>
      </w:pPr>
      <w:r>
        <w:rPr>
          <w:b/>
          <w:bCs/>
        </w:rPr>
        <w:t xml:space="preserve">Efekt PA2_W03: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Zaliczenie ćwiczeń w laboratorium, opracowanie sprawozdań z ćwiczeń.: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PA2_U01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K_U15, K_U16, K_U17, K_U19, K_U23, K_U24,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T1A_U13, T1A_U13, T1A_U14, T1A_U16, T1A_U16, T1A_U15, T1A_U08, T1A_U13</w:t>
      </w:r>
    </w:p>
    <w:p>
      <w:pPr>
        <w:keepNext w:val="1"/>
        <w:spacing w:after="10"/>
      </w:pPr>
      <w:r>
        <w:rPr>
          <w:b/>
          <w:bCs/>
        </w:rPr>
        <w:t xml:space="preserve">Efekt PA2_U02: </w:t>
      </w:r>
    </w:p>
    <w:p>
      <w:pPr/>
      <w:r>
        <w:rPr/>
        <w:t xml:space="preserve">Potrafi na podstawie eksperymentu zidentyfikować matematyczny model wybranego obiektu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T1A_U13, T1A_U08, T1A_U13</w:t>
      </w:r>
    </w:p>
    <w:p>
      <w:pPr>
        <w:keepNext w:val="1"/>
        <w:spacing w:after="10"/>
      </w:pPr>
      <w:r>
        <w:rPr>
          <w:b/>
          <w:bCs/>
        </w:rPr>
        <w:t xml:space="preserve">Efekt PA2_U03: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K_U15, K_U16, K_U17, K_U19, K_U23,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T1A_U13, T1A_U13, T1A_U14, T1A_U16,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PA2_U04: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PA2_K01: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2026-10-02T12:06:34+02:00</dcterms:created>
  <dcterms:modified xsi:type="dcterms:W3CDTF">2026-10-02T12:06:34+02:00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