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magisterska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Prodziekan ds Nauczania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IC.MK303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195
2. Godziny kontaktowe z nauczycielem akademickim w ramach konsultacji 102
3. Godziny kontaktowe z nauczycielem akademickim w ramach zaliczeń i egzaminów 3
4. Przygotowanie do zajęć (studiowanie literatury, odrabianie prac domowych itp.) 20
5. Zbieranie informacji, opracowanie wyników 100
6. Przygotowanie sprawozdania, prezentacji, raportu, dyskusji 160
7. Nauka samodzielna – przygotowanie do zaliczenia/kolokwium/egzaminu 20
Sumaryczne obciążenie studenta pracą 600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10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6,5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195h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Rejestracja na  3 semestr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Integracja wiedzy teoretycznej i umiejętności zdobytych podczas studiów II stopnia.
2. Pogłębienie umiejętności samodzielnej pracy i samokształcenia oraz rozwiązywania problemów technicznych.
3. Nabycie umiejętności przekazywania informacji o wykonanych pracach badawczych w formie opracowania pisemnego.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Poszukiwanie i analiza doniesień literaturowych dotyczących rozważanych zagadnień technicznych.
Edycja i korekta tekstu pracy dyplomowej magisterskiej.
Konsultacje z promotorem.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Recenzje opiekuna i recenzenta pracy magisterskiej.
egzamin ustny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dot. tematyki pracy magisterskiej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i rozumie podstawowe pojęcia i zasady zakresu ochrony własności przemysłowej i prawa
autorskiego; potrafi korzystać z zasobów informacji naukowej i patentowej.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wiedzę o trendach rozwojowych i najistotniejszych osiągnięciach z zakresu inżynierii
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planować i prowadzić badania z zakresu tematyki pracy magisterskiej, korzystać z przyrządów pomiarowych oraz interpretować uzyskane wyniki oraz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posługiwać się podstawowymi programami komputerowymi komercyjnymi oraz potrafi
przygotować własne proste programy, wspomagające realizację zadań typowych dla inżynierii
chemicznej i procesowej.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Zna język obcy na poziomie B2+ i potrafi posługiwać się językiem specjalistycznym z zakresu tematyki pracy magisterskiej.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p>
      <w:pPr>
        <w:keepNext w:val="1"/>
        <w:spacing w:after="10"/>
      </w:pPr>
      <w:r>
        <w:rPr>
          <w:b/>
          <w:bCs/>
        </w:rPr>
        <w:t xml:space="preserve">Efekt U4: </w:t>
      </w:r>
    </w:p>
    <w:p>
      <w:pPr/>
      <w:r>
        <w:rPr/>
        <w:t xml:space="preserve">Potrafi przygotować opracowanie naukowe w języku polskim i krótkie doniesienie naukowe w
języku angielskim.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Rozumie potrzeby dokształcania się i podnoszenia swoich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KS2: </w:t>
      </w:r>
    </w:p>
    <w:p>
      <w:pPr/>
      <w:r>
        <w:rPr/>
        <w:t xml:space="preserve">Potrafi mysleć i działać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p>
      <w:pPr>
        <w:keepNext w:val="1"/>
        <w:spacing w:after="10"/>
      </w:pPr>
      <w:r>
        <w:rPr>
          <w:b/>
          <w:bCs/>
        </w:rPr>
        <w:t xml:space="preserve">Efekt KS3: </w:t>
      </w:r>
    </w:p>
    <w:p>
      <w:pPr/>
      <w:r>
        <w:rPr/>
        <w:t xml:space="preserve">Potrafi przekazać informację o osiągnięciach inżynierii chemicznej i procesowej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recenzje opiekuna i recenzenta pracy magisterskiej, ustny egzamin dyplomowy magisterski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2025-05-08T23:21:09+02:00</dcterms:created>
  <dcterms:modified xsi:type="dcterms:W3CDTF">2025-05-08T23:21:09+02:00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