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195
2. Godziny kontaktowe z nauczycielem akademickim w ramach konsultacji 102
3. Godziny kontaktowe z nauczycielem akademickim w ramach zaliczeń i egzaminów 3
4. Przygotowanie do zajęć (studiowanie literatury, odrabianie prac domowych itp.) 20
5. Zbieranie informacji, opracowanie wyników 100
6. Przygotowanie sprawozdania, prezentacji, raportu, dyskusji 160
7. Nauka samodzielna – przygotowanie do zaliczenia/kolokwium/egzaminu 20
Sumaryczne obciążenie studenta pracą 600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 3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Integracja wiedzy teoretycznej i umiejętności zdobytych podczas studiów II stopnia.
2. Pogłębienie umiejętności samodzielnej pracy i samokształcenia oraz rozwiązywania problemów technicznych.
3. Nabycie umiejętności przekazywania informacji o wykonanych pracach badawczych w formie opracowania pisemnego.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Poszukiwanie i analiza doniesień literaturowych dotyczących rozważanych zagadnień technicznych.
Edycja i korekta tekstu pracy dyplomowej magisterskiej.
Konsultacje z promotorem.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Recenzje opiekuna i recenzenta pracy magisterskiej.
egzamin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dot. tematyki pracy magisterskiej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i rozumie podstawowe pojęcia i zasady zakresu ochrony własności przemysłowej i prawa
autorskiego; potrafi korzystać z zasobów informacji naukowej i patentowej.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o trendach rozwojowych i najistotniejszych osiągnięciach z zakresu inżynierii
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planować i prowadzić badania z zakresu tematyki pracy magisterskiej, korzystać z przyrządów pomiarowych oraz interpretować uzyskane wyniki oraz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posługiwać się podstawowymi programami komputerowymi komercyjnymi oraz potrafi
przygotować własne proste programy, wspomagające realizację zadań typowych dla inżynierii
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Zna język obcy na poziomie B2+ i potrafi posługiwać się językiem specjalistycznym z zakresu tematyki pracy magisterskiej.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przygotować opracowanie naukowe w języku polskim i krótkie doniesienie naukowe w
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potrzeby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Potrafi mysleć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KS3: </w:t>
      </w:r>
    </w:p>
    <w:p>
      <w:pPr/>
      <w:r>
        <w:rPr/>
        <w:t xml:space="preserve">Potrafi przekazać informację o osiągnięciach inżynierii chemicznej i procesowej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2026-10-02T15:51:15+02:00</dcterms:created>
  <dcterms:modified xsi:type="dcterms:W3CDTF">2026-10-02T15:51:15+02:00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