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
obecność na wykładach – 30 h
obecność na laboratoriach – 30 h
przygotowanie do laboratoriów – 30 h
zapoznanie się z literaturą – 10 h
konsultacje – 5 h
przygotowanie do egzaminu i obecność na egzaminie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30 h
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SFU_U01: </w:t>
      </w:r>
    </w:p>
    <w:p>
      <w:pPr/>
      <w:r>
        <w:rPr/>
        <w:t xml:space="preserve">Potrafi przeprowadzić analizę regresyjnych zależności liniowych i analizę adekwatności postulowanego modelu.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</w:t>
      </w:r>
    </w:p>
    <w:p>
      <w:pPr>
        <w:keepNext w:val="1"/>
        <w:spacing w:after="10"/>
      </w:pPr>
      <w:r>
        <w:rPr>
          <w:b/>
          <w:bCs/>
        </w:rPr>
        <w:t xml:space="preserve">Efekt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SFU_S01: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2026-10-03T11:27:35+02:00</dcterms:created>
  <dcterms:modified xsi:type="dcterms:W3CDTF">2026-10-03T11:27:35+02:00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