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chemii ogólnej na poziomie obowiązującym na studiach I stopnia.
Znajomość podstaw chemii środowiska na poziomie obowiązującym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niezbędnego zasobu wiedzy dotyczącej instrumentalnych metod badania środowiska.
Rozszerzenie wiedzy z chemii środowiska, w szczególności zanieczyszczeń antropogenicznych, priorytetowych i trwałych zanieczyszczeń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Chromatografia gazowa, spektrometria ASA i elektrody jonoselektywne - podstawy teoretyczne metod i ich zastosowanie w analizie środowiska
Metale, ropopocghodne węglowodory, BTEX, WWA, chlorowane węglowodory, , pestycydy, PCB, dioksyny - źródła obecności w środowisku, zachowanie w środowisku, szkodliwość, występujące stężenia.
Program ćwiczeń laboratoryjnych
Bloki tematyczne (treści):
Oznaczanie metali w osadach ściekowych - po mineralizacji próbki
Oznaczanie WWA w glebie metodą chromatografii gazowej - po ekstrakcji i oczyszczeniu ekstraktu
Oznaczanie fluorków w wodzie za pomocą elektrody jonoselektywnej
Oznaczanie  ChZT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Zieliński S. Skażenia chemiczne w środowisku, Oficyna Wydawnicza Politechniki Wrocławskiej, Wrocław, 2000
Dojlido J. Chemia wód powierzchniowych, Wydawnictwo Ekonomia i Środowisko, Białystok, 1995
Alloway B.J. Ayers D.C. Chemiczne podstawy zanieczyszczenia środowiska, PWN, Warszawa, 1999
Dojlido J., Zerbe J., Instrumentalne metody badania wody i ścieków, Arkady,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praktycznych, lboratoryjnych: </w:t>
      </w:r>
    </w:p>
    <w:p>
      <w:pPr/>
      <w:r>
        <w:rPr/>
        <w:t xml:space="preserve">Wiedza dotycząca metod analizy antropogenicznych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wyników analizy antropogenicznych zanieczyszczeń srodowiska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wyników, kollokwium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współpracy w grupie.
Pogłębienie wrażliwości na społeczne aspekty zanieczyszczenia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mmm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czystości środowiska na podstawie stężeń antropogenicznych, priorytetowych i trwałych substancji.
Umiejętność doboru metody analizy zanieczyszczeń j.w. i interpretacji wyników analizy.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Wzrost wrażliwości na wpływ emisji antropogenicznych szkodliwych zanieczyszczeń na stan środowiska naturalnego i zdrowie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rozmowa ze studentami i wynik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2026-10-21T06:50:46+02:00</dcterms:created>
  <dcterms:modified xsi:type="dcterms:W3CDTF">2026-10-21T06:50:46+02:00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