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Mańdziuk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1120-INMSI-MSP-0013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grafowe, Metody sztucznej inteligencji 1,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zaawansowanymi technikami sztucznej inteligencji a w szczególności z wybranymi zagadnieniami z obszaru inteligencji obliczeniowej. W ramach przedmiotu studenci poznają podstawy teoretyczne:
- metod inteligencji rojowej
- wybranych metod uczenia maszynowego
- wybranych metod klasyfikacyjnych
oraz ich zastosowania w obszarze gier umysłowych, zagadnień finansowych oraz bioinformatyki.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stanowią zaawansowane zagadnienia dotyczące metod uczenia maszynowego, metod ewolucyjnych oraz metod inteligencji obliczeniowej w kontekście rozwiązywania złożonych problemów decyzyjnych, problemów optymalizacyjnych oraz analizy i drążenia danych. Szczególny nacisk położony jest na omówienie najnowszych trendów w ww. obszarach. W trakcie ćwiczeń studenci samodzielnie przygotowują oraz przedstawiają referaty dotyczące zagadnień badawczych opublikowanych w bieżącej literaturze przedmiotu (czołowych czasopismach oraz materiałach konferencyjnych). W ramach cało-semestralnych projektów studenci w grupach 2-4 osobowych projektują oraz implementują programy rozwiązujące praktyczne, problemy z zakresu bioinformatyki, finansów czy gier umysłowych.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ocena z przedstawionego referatu oraz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Duch and J. Mańdziuk (eds.), Challenges to Computational Intelligence, Springer-Verlag, 2007
2. J.Y.L. Wang, M.J. Zaki, H.T.T. Toivonen, D.E. Shasha (eds.), Data Mining in Bioinformatics, Springer-Verlag
3. A. Brabazon and M. O’Neill, Biologically Inspired Algorithms for Financial Modelling, Springer
4. Czasopisma IEEE TNN, IEEE TEC, IEEE TCIAIG, Machine Learning, Artificial Intelligence
5. Materialy konferencyjne: NIPS, ICANN., IJCNN, ICONIP, ECAI, ICML, ICAISC, ICANNGA, i inne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metody wykorzystania inteligencji obliczeniowej w zastosowaniach ekonomicznych (Business Intelligence)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zaawansowane metody uczenia maszynowego, metody ewolucyjne oraz metody inteligencji obliczeniowej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Posiada umiejętność gromadzenia, selekcji i krytycznej interpretacji informacji technicznej oraz zdolność formułowania poglądów, idei, problemów i ich rozwiązań oraz zdolność ich wyrażania i prezentowania specjalistom i niespecjalistom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pracować indywidualnie, w zespole oraz kierować niedużym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bezproblemowo posługiwać się językiem angielskim w różnych obszarach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U2_04: </w:t>
      </w:r>
    </w:p>
    <w:p>
      <w:pPr/>
      <w:r>
        <w:rPr/>
        <w:t xml:space="preserve">Potrafi zdefiniować fazy realizacji oraz praktycznie przeprowadzić złożone przedsięwzięcie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2025-05-09T23:42:15+02:00</dcterms:created>
  <dcterms:modified xsi:type="dcterms:W3CDTF">2025-05-09T23:42:15+02:00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