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udział w laboratoriach  - 30 godz.
•	udział w zajęciach projektowych – 15 godz.
•	konsultacje  - 3 godz.
2) Praca własna studenta -  45 godz. w tym:
•	przygotowanie do ćwiczeń laboratoryjnych -15 godz.
•	opracowanie raportów z ćwiczeń laboratoryjnych 15 godz.
•	opracowanie dokumentacji projektowej, wykonanie obliczeń, dobór elementów, opracowanie raportu z prac 15 godz.
Razem: 93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48, w tym: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93 godz. w tym:
•	przygotowanie do ćwiczeń laboratoryjnych 15 godz.
•	opracowanie raportów z ćwiczeń laboratoryjnych 15 godz.
•	opracowanie dokumentacji projektowej, wykonanie obliczeń , dobór elementów, opracowanie raportu z prac 15 godz.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obrazu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 60% udziału w ocenie końcowej Ocena z projektu wykonywanego indywidualnie lub w zespole 40% udziału w ocenie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UMD2_U01: </w:t>
      </w:r>
    </w:p>
    <w:p>
      <w:pPr/>
      <w:r>
        <w:rPr/>
        <w:t xml:space="preserve">Absolwent potrafi przeprowadzić badanie parametrów funkcjonalnych sprzętu multimedialnego,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laboratoryjnych, ocena przebiegu pracy w laboratorium, 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K_U16, K_U22,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T1A_U02, T1A_U08, T1A_U09, T1A_U07, T1A_U07, T1A_U15, T1A_U10</w:t>
      </w:r>
    </w:p>
    <w:p>
      <w:pPr>
        <w:keepNext w:val="1"/>
        <w:spacing w:after="10"/>
      </w:pPr>
      <w:r>
        <w:rPr>
          <w:b/>
          <w:bCs/>
        </w:rPr>
        <w:t xml:space="preserve">Efekt UMD2_U02: </w:t>
      </w:r>
    </w:p>
    <w:p>
      <w:pPr/>
      <w:r>
        <w:rPr/>
        <w:t xml:space="preserve">Absolwent potrafi zaprojektować węzeł lub zespół urządzenia multimedialnego, wykorzystać do tego elementy katalogowe i dokonać doboru odpowiednich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K_U08, K_U09, K_U14,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T1A_U09, T1A_U16, T1A_U16, T1A_U07, T1A_U09, T1A_U12, T1A_U15,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UMD2_K01: </w:t>
      </w:r>
    </w:p>
    <w:p>
      <w:pPr/>
      <w:r>
        <w:rPr/>
        <w:t xml:space="preserve">Absolwent potrafi pracować w zespole nad rozwiązaniem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2026-02-06T15:22:29+01:00</dcterms:created>
  <dcterms:modified xsi:type="dcterms:W3CDTF">2026-02-06T15:22:29+01:00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