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Wnuk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INSY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
wykład - 15h;
zajęcia projektowe - 15h;
kolokwia - 2h;
konsultacje - 2h;
2) Praca własna studenta 26h, w tym:
przygotowanie do kolokwiów zaliczeniowych - 6h;
opracowanie projektu- 20h;
Razem:  60 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1,25 pkt. ECTS - liczba godzin bezpośrednich: 34, w tym: 
wykład - 15h;
zajęcia projektowe – 15h;
kolokwia – 2h;
konsultacje indywidualne - 2h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– liczba godzin praktycznych:37 godz., w tym:
zajęcia projektowe - 15h;
opracowanie projektu- 20h;
konsultacje indywidualne - 2h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systemów DCS i/lub SCADA, stosu protokołów TCP/IP, podstawowej administracji systemami Windows, praktyczne programowanie na platformie .NET. Przydatna znajomość podstaw relacyjnych systemów bazodanowych. Przydatna znajomość podstawowych urządzeń sieciowych (switch, router, firewall).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praktycznej wiedzy z zakresu wdrażania systemów informatycznych w środowiskach heterogenicznych występujących w przemyśle. Integracja systemów sterowania. Przybliżenie typowych wymagań, problemów i metod ich rozwiązywania.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Cele integracji systemów automatyki. Systemy DCS/SCADA a systemy ERP/MES. Inne źródła informacji. Przemysłowa hurtownia danych. Wpływ na systemy sterowania. Informacja zamiast danych. Optymalizacja produkcji w skali zakładu.
2. Skala zadań, dobór środków. Czy relacyjne bazy danych ogólnego przeznaczenia wystarczą? Przegląd rozwiązań PIMS (Process Information Management System) różnych producentów. Oprogramowanie i sprzęt. Dane procesowe i zdarzenia. Rozdzielczość czasowa i synchronizacja czasu. Protokoły wymiany danych z praktycznym uwzględnieniem standardu OPC. Trendy rozwojowe.
3. Analiza planowanego zakresu wdrożenia w kontekście istniejącej infrastruktury technicznej przedsiębiorstwa. Określenia wymagań stawianych źródłom danych, sieciom WAN/LAN. Dobór protokołów i struktury systemu PIMS. Integracja informacji pochodzących z różnych źródeł. Wskaźniki produkcji. Ciągłość danych i wysoka dostępność systemu. Redundancja elementów składowych.
4. Utrzymanie ciągłości ruchu a modernizacje i aktualizacje programowania. Bezpieczeństwo informatyczne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dwóch kolokwiów (po 50% oceny). Końcowa ocena z przedmiotu składa się w 50 % z oceny z wykładu i 50 % z oceny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Ch. Todman. Projektowanie hurtowni danych. WNT, Warszawa 2003
2. M. Jarke, M. Lenzerini, Y. Vassiliou, P. Vassiliadis. Hurtownie danych. Podstawa organizacji i funkcjonowania. WSiP, Warszawa 2003
3. William O'Connell. Trends in Data Warehousing: A Practitioner's View. VLDB 2004.
4. Dokumentacja Honeywell Uniformance PHD
5. Materiały firm Osisoft i AspenTech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INSY_IIst_W01: </w:t>
      </w:r>
    </w:p>
    <w:p>
      <w:pPr/>
      <w:r>
        <w:rPr/>
        <w:t xml:space="preserve">Posiada uporządkowaną wiedzę w zakresie integracji systemów informatycznych różnego typu stosowanych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 2,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INSY_IIst_W02: </w:t>
      </w:r>
    </w:p>
    <w:p>
      <w:pPr/>
      <w:r>
        <w:rPr/>
        <w:t xml:space="preserve">Posiada uporządkowaną wiedzę w zakresie możliwości najnowszych systemów informatycznych stosowanych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INSY_IIst_U01: </w:t>
      </w:r>
    </w:p>
    <w:p>
      <w:pPr/>
      <w:r>
        <w:rPr/>
        <w:t xml:space="preserve">Potrafi przygotować oprogramowanie zdolne do komunikacji z typowymi systemami IT stosowanymi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T2A_U07, T2A_U19</w:t>
      </w:r>
    </w:p>
    <w:p>
      <w:pPr>
        <w:keepNext w:val="1"/>
        <w:spacing w:after="10"/>
      </w:pPr>
      <w:r>
        <w:rPr>
          <w:b/>
          <w:bCs/>
        </w:rPr>
        <w:t xml:space="preserve">Efekt INSY_IIst_U02: </w:t>
      </w:r>
    </w:p>
    <w:p>
      <w:pPr/>
      <w:r>
        <w:rPr/>
        <w:t xml:space="preserve">Potrafi zintegrować i doprowadzić do wymiany informacji pomiędzy systemami sterowania i zarządzania działającymi na różnym poziomie (DCS, Historian, ACS, ERP)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T2A_U19,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INSY_IIst_K01: </w:t>
      </w:r>
    </w:p>
    <w:p>
      <w:pPr/>
      <w:r>
        <w:rPr/>
        <w:t xml:space="preserve">Potrafi samodzielnie wybrać technologię wykonania konkretnego zadania kierując się wytycznymi projektowymi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2025-05-03T06:37:06+02:00</dcterms:created>
  <dcterms:modified xsi:type="dcterms:W3CDTF">2025-05-03T06:37:06+02:00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