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48h, w tym:
wykład - 30h
ćwiczenia laboratorium- 15h
konsultacje - 3h
2) Praca własna studenta 60h, w tym:
przygotowanie do zajęć laboratoryjnych - 10h
opracowanie zadań - 25h
zapoznanie się z literaturą - 10h
przygotowanie do zaliczeń - 15h
Razem:  108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bezpośrednich 48h, w tym:
wykład - 30h
ćwiczenia laboratorium - 15h
konsultacje - 3h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bezpośrednich 50h, w tym:
ćwiczenia laboratorium - 15h
przygotowanie do zajęć laboratoryjnych - 10h
opracowanie zadań - 25h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znajomość zasad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L: Zastosowanie programu „Statgraphics” do rozwiązywania problemów z zakresu oceny próbek, analizy wariancji, analizy regresji oraz planowania eksperymentu.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wykładzie i kolokwia na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Dobosz: „Wspomagana komputerowo statystyczna analiza wyników badań – wydanie II uaktualnione”, Akademicka Oficyna Wydawnicza „Exit”, Warszawa, 2004 r 
Volk W. 1973. Statystyka stosowana dla inżynierów. Warszawa: WNT. 
Draper N.R., Smith H. 1998. Applied regression analysis. New York: John Wiley &amp; Sons
Szydłowiecki H. 1981. Teoria pomiarów. Warszawa: PWN.
Bartoszewicz J. 1996. Wykłady ze statystyki matematycznej. Warszawa: PWN. 
MorrisonD. F. 1990. Wielowymiarowa analiza statystyczna. Warszawa: PWN
Stanisz A. 2000. Przystępny kurs statystyki z wykorzystaniem programu STATISTICA PL na przykładach z medycyny tom I i II. Kraków: StatSoft Polska Sp. z o.o.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TPE_IIst_W01: </w:t>
      </w:r>
    </w:p>
    <w:p>
      <w:pPr/>
      <w:r>
        <w:rPr/>
        <w:t xml:space="preserve">Student uzyskuje wiedzę na temat istoty oraz zastosowań metod statystyki opisowej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wykładzie i kolokwia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TPE_IIst_W02: </w:t>
      </w:r>
    </w:p>
    <w:p>
      <w:pPr/>
      <w:r>
        <w:rPr/>
        <w:t xml:space="preserve">Student uzyskuje wiedzę na temat istoty oraz zastosowań statystycznych metod wielowymiarowej analizy kowariancji i korelacji oraz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wykładzie i kolokwia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TPE_IIst_U01: </w:t>
      </w:r>
    </w:p>
    <w:p>
      <w:pPr/>
      <w:r>
        <w:rPr/>
        <w:t xml:space="preserve">Student zdobywa umiejętności zastosowanie oprogramowania statystycznego do rozwiązywania problemów z zakresu oceny próbek oraz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TPE_IIst_U02: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TIP_IIst_K01: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2026-10-03T13:17:35+02:00</dcterms:created>
  <dcterms:modified xsi:type="dcterms:W3CDTF">2026-10-03T13:17:35+02:00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