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13h,
b) Laboratorium: 12h, 
c) Konsultacje: 2h,
2) Liczba godzin pracy własnej studenta (50h): 
a) Przygotowanie do zajęć laboratoryjnych: 15h,  
b) Opracowanie sprawozdań: 15h, 
c) Przygotowanie do egzaminu: 20h.
Razem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13h,
b) Laboratorium: 12h, 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- 42h w tym:
a) Laboratorium: 12h, 
b) Przygotowanie do zajęć laboratoryjnych: 15h,  
c) Opracowanie sprawozdań: 15h,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S. Adamczak: „Pomiary geometryczne powierzchni”. WN-T, 2008..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MTCz_nst_W01: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MTCz_nst_W02: </w:t>
      </w:r>
    </w:p>
    <w:p>
      <w:pPr/>
      <w:r>
        <w:rPr/>
        <w:t xml:space="preserve">Znajomość budowy przetworników pomiarowych wielkości geometrycznych stosowanych w urządzeniach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MTCz_nst_U01: </w:t>
      </w:r>
    </w:p>
    <w:p>
      <w:pPr/>
      <w:r>
        <w:rPr/>
        <w:t xml:space="preserve">Opanowanie procedur i technik w zakresie realizacji pomiarów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MTCz_nst_U02: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MTCz_nst_K01: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2026-10-03T03:22:08+02:00</dcterms:created>
  <dcterms:modified xsi:type="dcterms:W3CDTF">2026-10-03T03:22:08+02:00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