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Prof. dr hab. inż.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55, w tym:
a) godzin wykładu 25
b) godzin ćwiczeń audytoryjnych 25
c) godzin na zdawanie egzaminu 5
2) Praca własna studenta 90, w tym:
a) przygotowanie do egzaminu i udział w tym egzaminie 35
b) przygotowania literaturowego 15
c) przygotowania do ćwiczeń audytoryjnych 40
Suma: 145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55, w tym:
a) godzin wykładu 25
b) godzin ćwiczeń audytoryjnych 25
c) godzin na zdawanie egzaminu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30, w tym:
b) godzin ćwiczeń audytoryjnych 25
c) godzin na zdawanie egzaminu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MEOz_Inst_W01: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MEOz_Inst_U01: </w:t>
      </w:r>
    </w:p>
    <w:p>
      <w:pPr/>
      <w:r>
        <w:rPr/>
        <w:t xml:space="preserve">Potrafi, w sposób analityczny, rozwiązać problem z zakresu mechaniki ogólnej. </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2026-10-21T14:01:04+02:00</dcterms:created>
  <dcterms:modified xsi:type="dcterms:W3CDTF">2026-10-21T14:01:04+02:00</dcterms:modified>
</cp:coreProperties>
</file>

<file path=docProps/custom.xml><?xml version="1.0" encoding="utf-8"?>
<Properties xmlns="http://schemas.openxmlformats.org/officeDocument/2006/custom-properties" xmlns:vt="http://schemas.openxmlformats.org/officeDocument/2006/docPropsVTypes"/>
</file>