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KZU1z</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(29h):
a) Wykład 12h, 
b) Projektowanie 15h,
c) Konsultacje 2h,
2) Liczba godzin pracy własnej studenta (60h): 
a) Obliczenia i opracowanie konstrukcji, wykonanie dokumentacji konstrukcyjnej 40h, 
b) Zapoznanie z literaturą 10h, 
c) Przygotowanie do zaliczenia wykładu 10h.
RAZEM 89h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(29h):
a) Wykład 12h, 
b) Projektowanie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punktu ECTS - 55h w tym:
a) Projektowanie 15h,
b) Obliczenia i opracowanie konstrukcji, wykonanie dokumentacji konstrukcyjnej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KZU1z_ Inst_W01: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KZU1z_ Inst_U01: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KZU1z_ Inst_K01: </w:t>
      </w:r>
    </w:p>
    <w:p>
      <w:pPr/>
      <w:r>
        <w:rPr/>
        <w:t xml:space="preserve">Potrafi pracować w zespole </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2026-10-21T15:44:05+02:00</dcterms:created>
  <dcterms:modified xsi:type="dcterms:W3CDTF">2026-10-21T15:44:05+02:00</dcterms:modified>
</cp:coreProperties>
</file>

<file path=docProps/custom.xml><?xml version="1.0" encoding="utf-8"?>
<Properties xmlns="http://schemas.openxmlformats.org/officeDocument/2006/custom-properties" xmlns:vt="http://schemas.openxmlformats.org/officeDocument/2006/docPropsVTypes"/>
</file>